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45335" focussize="0,0" recolor="t" r:id="rId5"/>
    </v:background>
  </w:background>
  <w:body>
    <w:p>
      <w:pPr>
        <w:rPr>
          <w:rFonts w:hint="eastAsia"/>
          <w:b/>
          <w:lang w:eastAsia="zh-CN"/>
        </w:rPr>
      </w:pPr>
      <w:r>
        <w:rPr>
          <w:rFonts w:hint="eastAsia"/>
          <w:b/>
          <w:lang w:eastAsia="zh-CN"/>
        </w:rPr>
        <w:drawing>
          <wp:anchor distT="0" distB="0" distL="114300" distR="114300" simplePos="0" relativeHeight="251658240" behindDoc="1" locked="0" layoutInCell="1" allowOverlap="1">
            <wp:simplePos x="0" y="0"/>
            <wp:positionH relativeFrom="column">
              <wp:posOffset>-1152525</wp:posOffset>
            </wp:positionH>
            <wp:positionV relativeFrom="paragraph">
              <wp:posOffset>-931545</wp:posOffset>
            </wp:positionV>
            <wp:extent cx="7687310" cy="10766425"/>
            <wp:effectExtent l="0" t="0" r="8890" b="15875"/>
            <wp:wrapNone/>
            <wp:docPr id="1"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
                    <pic:cNvPicPr>
                      <a:picLocks noChangeAspect="1"/>
                    </pic:cNvPicPr>
                  </pic:nvPicPr>
                  <pic:blipFill>
                    <a:blip r:embed="rId6"/>
                    <a:stretch>
                      <a:fillRect/>
                    </a:stretch>
                  </pic:blipFill>
                  <pic:spPr>
                    <a:xfrm>
                      <a:off x="0" y="0"/>
                      <a:ext cx="7687310" cy="10766425"/>
                    </a:xfrm>
                    <a:prstGeom prst="rect">
                      <a:avLst/>
                    </a:prstGeom>
                  </pic:spPr>
                </pic:pic>
              </a:graphicData>
            </a:graphic>
          </wp:anchor>
        </w:drawing>
      </w:r>
    </w:p>
    <w:p>
      <w:pPr>
        <w:rPr>
          <w:rFonts w:hint="eastAsia"/>
          <w:b/>
          <w:lang w:eastAsia="zh-CN"/>
        </w:rPr>
      </w:pPr>
    </w:p>
    <w:p>
      <w:pPr>
        <w:rPr>
          <w:rFonts w:hint="eastAsia"/>
          <w:b/>
          <w:lang w:eastAsia="zh-CN"/>
        </w:rPr>
      </w:pPr>
    </w:p>
    <w:p>
      <w:pPr>
        <w:rPr>
          <w:rFonts w:hint="eastAsia"/>
          <w:b/>
          <w:lang w:eastAsia="zh-CN"/>
        </w:rPr>
      </w:pPr>
    </w:p>
    <w:p>
      <w:pPr>
        <w:rPr>
          <w:rFonts w:hint="eastAsia"/>
          <w:b/>
          <w:lang w:eastAsia="zh-CN"/>
        </w:rPr>
      </w:pPr>
    </w:p>
    <w:p>
      <w:pPr>
        <w:rPr>
          <w:rFonts w:hint="eastAsia"/>
          <w:b/>
          <w:lang w:eastAsia="zh-CN"/>
        </w:rPr>
      </w:pPr>
    </w:p>
    <w:p>
      <w:pPr>
        <w:rPr>
          <w:rFonts w:hint="eastAsia"/>
          <w:b/>
          <w:lang w:eastAsia="zh-CN"/>
        </w:rPr>
      </w:pPr>
    </w:p>
    <w:p>
      <w:pPr>
        <w:rPr>
          <w:rFonts w:hint="eastAsia"/>
          <w:b/>
          <w:lang w:eastAsia="zh-CN"/>
        </w:rPr>
      </w:pPr>
    </w:p>
    <w:p>
      <w:pPr>
        <w:rPr>
          <w:rFonts w:hint="eastAsia"/>
          <w:b/>
          <w:lang w:eastAsia="zh-CN"/>
        </w:rPr>
      </w:pPr>
    </w:p>
    <w:p>
      <w:pPr>
        <w:rPr>
          <w:rFonts w:hint="eastAsia"/>
          <w:b/>
          <w:lang w:eastAsia="zh-CN"/>
        </w:rPr>
      </w:pPr>
    </w:p>
    <w:p>
      <w:pPr>
        <w:rPr>
          <w:rFonts w:hint="eastAsia"/>
          <w:b/>
          <w:lang w:eastAsia="zh-CN"/>
        </w:rPr>
      </w:pPr>
    </w:p>
    <w:p>
      <w:pPr>
        <w:rPr>
          <w:rFonts w:hint="eastAsia"/>
          <w:b/>
          <w:lang w:eastAsia="zh-CN"/>
        </w:rPr>
      </w:pPr>
    </w:p>
    <w:p>
      <w:pPr>
        <w:rPr>
          <w:rFonts w:hint="eastAsia"/>
          <w:b/>
          <w:lang w:eastAsia="zh-CN"/>
        </w:rPr>
      </w:pPr>
    </w:p>
    <w:p>
      <w:pPr>
        <w:jc w:val="center"/>
        <w:rPr>
          <w:rFonts w:hint="eastAsia"/>
          <w:b/>
          <w:sz w:val="72"/>
          <w:szCs w:val="96"/>
          <w:lang w:val="en-US" w:eastAsia="zh-CN"/>
        </w:rPr>
      </w:pPr>
      <w:r>
        <w:rPr>
          <w:rFonts w:hint="eastAsia"/>
          <w:b/>
          <w:sz w:val="72"/>
          <w:szCs w:val="96"/>
          <w:lang w:val="en-US" w:eastAsia="zh-CN"/>
        </w:rPr>
        <w:t xml:space="preserve">   </w:t>
      </w:r>
    </w:p>
    <w:p>
      <w:pPr>
        <w:jc w:val="center"/>
        <w:rPr>
          <w:rFonts w:hint="eastAsia"/>
          <w:b/>
          <w:sz w:val="72"/>
          <w:szCs w:val="96"/>
          <w:lang w:val="en-US" w:eastAsia="zh-CN"/>
        </w:rPr>
      </w:pPr>
      <w:r>
        <w:rPr>
          <w:rFonts w:hint="eastAsia"/>
          <w:b/>
          <w:sz w:val="72"/>
          <w:szCs w:val="96"/>
          <w:lang w:val="en-US" w:eastAsia="zh-CN"/>
        </w:rPr>
        <w:t>杭州景逸堂医疗科技</w:t>
      </w:r>
    </w:p>
    <w:p>
      <w:pPr>
        <w:jc w:val="center"/>
        <w:rPr>
          <w:rFonts w:hint="eastAsia"/>
          <w:b/>
          <w:sz w:val="72"/>
          <w:szCs w:val="96"/>
          <w:lang w:val="en-US" w:eastAsia="zh-CN"/>
        </w:rPr>
      </w:pPr>
      <w:r>
        <w:rPr>
          <w:rFonts w:hint="eastAsia"/>
          <w:b/>
          <w:sz w:val="72"/>
          <w:szCs w:val="96"/>
          <w:lang w:val="en-US" w:eastAsia="zh-CN"/>
        </w:rPr>
        <w:t>有限公司</w:t>
      </w:r>
    </w:p>
    <w:p>
      <w:pPr>
        <w:rPr>
          <w:rFonts w:hint="eastAsia"/>
          <w:b/>
          <w:lang w:eastAsia="zh-CN"/>
        </w:rPr>
      </w:pPr>
    </w:p>
    <w:p>
      <w:pPr>
        <w:jc w:val="center"/>
        <w:rPr>
          <w:rFonts w:hint="eastAsia"/>
          <w:b/>
          <w:sz w:val="72"/>
          <w:szCs w:val="96"/>
          <w:lang w:val="en-US" w:eastAsia="zh-CN"/>
        </w:rPr>
      </w:pPr>
      <w:r>
        <w:rPr>
          <w:rFonts w:hint="eastAsia"/>
          <w:b/>
          <w:sz w:val="72"/>
          <w:szCs w:val="96"/>
          <w:lang w:val="en-US" w:eastAsia="zh-CN"/>
        </w:rPr>
        <w:t>Q R S 量 子 检 测</w:t>
      </w:r>
    </w:p>
    <w:p>
      <w:pPr>
        <w:jc w:val="center"/>
        <w:rPr>
          <w:rFonts w:hint="eastAsia"/>
          <w:b/>
          <w:sz w:val="72"/>
          <w:szCs w:val="96"/>
          <w:lang w:val="en-US" w:eastAsia="zh-CN"/>
        </w:rPr>
      </w:pPr>
    </w:p>
    <w:p>
      <w:pPr>
        <w:rPr>
          <w:rFonts w:hint="eastAsia"/>
          <w:b/>
          <w:lang w:eastAsia="zh-CN"/>
        </w:rPr>
      </w:pPr>
    </w:p>
    <w:p>
      <w:pPr>
        <w:rPr>
          <w:rFonts w:hint="eastAsia"/>
          <w:b/>
          <w:lang w:eastAsia="zh-CN"/>
        </w:rPr>
      </w:pPr>
    </w:p>
    <w:p>
      <w:pPr>
        <w:rPr>
          <w:rFonts w:hint="eastAsia"/>
          <w:b/>
          <w:lang w:eastAsia="zh-CN"/>
        </w:rPr>
      </w:pPr>
    </w:p>
    <w:p>
      <w:pPr>
        <w:rPr>
          <w:rFonts w:hint="eastAsia"/>
          <w:b/>
          <w:lang w:eastAsia="zh-CN"/>
        </w:rPr>
      </w:pPr>
    </w:p>
    <w:p>
      <w:pPr>
        <w:rPr>
          <w:rFonts w:hint="eastAsia"/>
          <w:b/>
          <w:lang w:eastAsia="zh-CN"/>
        </w:rPr>
      </w:pPr>
    </w:p>
    <w:p>
      <w:pPr>
        <w:rPr>
          <w:rFonts w:hint="eastAsia"/>
          <w:b/>
          <w:lang w:eastAsia="zh-CN"/>
        </w:rPr>
      </w:pPr>
    </w:p>
    <w:p>
      <w:pPr>
        <w:rPr>
          <w:rFonts w:hint="eastAsia"/>
          <w:b/>
          <w:lang w:eastAsia="zh-CN"/>
        </w:rPr>
      </w:pPr>
    </w:p>
    <w:p>
      <w:pPr>
        <w:rPr>
          <w:rFonts w:hint="eastAsia"/>
          <w:b/>
          <w:lang w:eastAsia="zh-CN"/>
        </w:rPr>
      </w:pPr>
    </w:p>
    <w:p>
      <w:pPr>
        <w:rPr>
          <w:rFonts w:hint="eastAsia"/>
          <w:b/>
          <w:lang w:eastAsia="zh-CN"/>
        </w:rPr>
      </w:pPr>
    </w:p>
    <w:p>
      <w:pPr>
        <w:rPr>
          <w:rFonts w:hint="eastAsia"/>
          <w:b/>
          <w:lang w:eastAsia="zh-CN"/>
        </w:rPr>
      </w:pPr>
    </w:p>
    <w:p>
      <w:pPr>
        <w:rPr>
          <w:rFonts w:hint="eastAsia"/>
          <w:b/>
          <w:lang w:eastAsia="zh-CN"/>
        </w:rPr>
      </w:pPr>
    </w:p>
    <w:p>
      <w:pPr>
        <w:rPr>
          <w:rFonts w:hint="eastAsia"/>
          <w:b/>
          <w:lang w:eastAsia="zh-CN"/>
        </w:rPr>
      </w:pPr>
    </w:p>
    <w:p>
      <w:pPr>
        <w:rPr>
          <w:rFonts w:hint="eastAsia"/>
          <w:b/>
          <w:lang w:eastAsia="zh-CN"/>
        </w:rPr>
      </w:pPr>
    </w:p>
    <w:p>
      <w:pPr>
        <w:rPr>
          <w:rFonts w:hint="eastAsia"/>
          <w:b/>
          <w:lang w:eastAsia="zh-CN"/>
        </w:rPr>
      </w:pPr>
    </w:p>
    <w:p>
      <w:pPr>
        <w:rPr>
          <w:rFonts w:hint="eastAsia"/>
          <w:b/>
          <w:lang w:eastAsia="zh-CN"/>
        </w:rPr>
      </w:pPr>
    </w:p>
    <w:p>
      <w:pPr>
        <w:pStyle w:val="2"/>
        <w:keepNext/>
        <w:keepLines/>
        <w:pageBreakBefore w:val="0"/>
        <w:widowControl w:val="0"/>
        <w:kinsoku/>
        <w:wordWrap/>
        <w:overflowPunct/>
        <w:topLinePunct w:val="0"/>
        <w:autoSpaceDE/>
        <w:autoSpaceDN/>
        <w:bidi w:val="0"/>
        <w:adjustRightInd/>
        <w:snapToGrid/>
        <w:spacing w:before="0" w:after="0" w:line="240" w:lineRule="auto"/>
        <w:jc w:val="both"/>
        <w:textAlignment w:val="auto"/>
        <w:outlineLvl w:val="0"/>
        <w:rPr>
          <w:rFonts w:hint="eastAsia" w:ascii="宋体" w:hAnsi="宋体" w:cs="宋体"/>
          <w:b/>
          <w:bCs w:val="0"/>
          <w:sz w:val="28"/>
          <w:szCs w:val="28"/>
          <w:lang w:eastAsia="zh-CN"/>
        </w:rPr>
      </w:pPr>
      <w:bookmarkStart w:id="0" w:name="_Toc30442_WPSOffice_Level1"/>
      <w:bookmarkStart w:id="1" w:name="_Toc177199003"/>
      <w:r>
        <w:rPr>
          <w:rFonts w:hint="eastAsia" w:ascii="宋体" w:hAnsi="宋体" w:cs="宋体"/>
          <w:b/>
          <w:bCs w:val="0"/>
          <w:sz w:val="28"/>
          <w:szCs w:val="28"/>
          <w:lang w:eastAsia="zh-CN"/>
        </w:rPr>
        <w:t>一、公司简介</w:t>
      </w:r>
    </w:p>
    <w:p>
      <w:pPr>
        <w:pStyle w:val="2"/>
        <w:keepNext/>
        <w:keepLines/>
        <w:pageBreakBefore w:val="0"/>
        <w:widowControl w:val="0"/>
        <w:kinsoku/>
        <w:wordWrap/>
        <w:overflowPunct/>
        <w:topLinePunct w:val="0"/>
        <w:autoSpaceDE/>
        <w:autoSpaceDN/>
        <w:bidi w:val="0"/>
        <w:adjustRightInd/>
        <w:snapToGrid/>
        <w:spacing w:before="0" w:after="0" w:line="240" w:lineRule="auto"/>
        <w:ind w:firstLine="560" w:firstLineChars="200"/>
        <w:jc w:val="both"/>
        <w:textAlignment w:val="auto"/>
        <w:outlineLvl w:val="0"/>
        <w:rPr>
          <w:rFonts w:hint="eastAsia" w:asciiTheme="minorEastAsia" w:hAnsiTheme="minorEastAsia" w:eastAsiaTheme="minorEastAsia" w:cstheme="minorEastAsia"/>
          <w:b/>
          <w:bCs w:val="0"/>
          <w:sz w:val="28"/>
          <w:szCs w:val="28"/>
          <w:lang w:eastAsia="zh-CN"/>
        </w:rPr>
      </w:pPr>
      <w:r>
        <w:rPr>
          <w:rFonts w:hint="eastAsia" w:ascii="宋体" w:hAnsi="宋体" w:cs="宋体"/>
          <w:b w:val="0"/>
          <w:bCs/>
          <w:sz w:val="28"/>
          <w:szCs w:val="28"/>
          <w:lang w:eastAsia="zh-CN"/>
        </w:rPr>
        <w:t>杭州景逸堂医疗科技有限公司</w:t>
      </w:r>
      <w:r>
        <w:rPr>
          <w:rFonts w:hint="eastAsia" w:ascii="宋体" w:hAnsi="宋体" w:eastAsia="宋体" w:cs="宋体"/>
          <w:b w:val="0"/>
          <w:bCs/>
          <w:sz w:val="28"/>
          <w:szCs w:val="28"/>
          <w:lang w:eastAsia="zh-CN"/>
        </w:rPr>
        <w:t>，</w:t>
      </w:r>
      <w:r>
        <w:rPr>
          <w:rFonts w:hint="eastAsia" w:ascii="宋体" w:hAnsi="宋体" w:eastAsia="宋体" w:cs="宋体"/>
          <w:b w:val="0"/>
          <w:bCs/>
          <w:sz w:val="28"/>
          <w:szCs w:val="28"/>
          <w:lang w:val="en-US" w:eastAsia="zh-CN"/>
        </w:rPr>
        <w:t>成立于</w:t>
      </w:r>
      <w:r>
        <w:rPr>
          <w:rFonts w:hint="eastAsia" w:ascii="宋体" w:hAnsi="宋体" w:cs="宋体"/>
          <w:b w:val="0"/>
          <w:bCs/>
          <w:sz w:val="28"/>
          <w:szCs w:val="28"/>
          <w:lang w:val="en-US" w:eastAsia="zh-CN"/>
        </w:rPr>
        <w:t>2018</w:t>
      </w:r>
      <w:r>
        <w:rPr>
          <w:rFonts w:hint="eastAsia" w:ascii="宋体" w:hAnsi="宋体" w:eastAsia="宋体" w:cs="宋体"/>
          <w:b w:val="0"/>
          <w:bCs/>
          <w:sz w:val="28"/>
          <w:szCs w:val="28"/>
          <w:lang w:val="en-US" w:eastAsia="zh-CN"/>
        </w:rPr>
        <w:t>年</w:t>
      </w:r>
      <w:r>
        <w:rPr>
          <w:rFonts w:hint="eastAsia" w:ascii="宋体" w:hAnsi="宋体" w:cs="宋体"/>
          <w:b w:val="0"/>
          <w:bCs/>
          <w:sz w:val="28"/>
          <w:szCs w:val="28"/>
          <w:lang w:val="en-US" w:eastAsia="zh-CN"/>
        </w:rPr>
        <w:t>6月5日</w:t>
      </w:r>
      <w:r>
        <w:rPr>
          <w:rFonts w:hint="eastAsia" w:ascii="宋体" w:hAnsi="宋体" w:eastAsia="宋体" w:cs="宋体"/>
          <w:b w:val="0"/>
          <w:bCs/>
          <w:sz w:val="28"/>
          <w:szCs w:val="28"/>
          <w:lang w:val="en-US" w:eastAsia="zh-CN"/>
        </w:rPr>
        <w:t>，是一家集医疗、预防、保健、</w:t>
      </w:r>
      <w:r>
        <w:rPr>
          <w:rFonts w:hint="eastAsia" w:ascii="宋体" w:hAnsi="宋体" w:cs="宋体"/>
          <w:b w:val="0"/>
          <w:bCs/>
          <w:sz w:val="28"/>
          <w:szCs w:val="28"/>
          <w:lang w:val="en-US" w:eastAsia="zh-CN"/>
        </w:rPr>
        <w:t>体检</w:t>
      </w:r>
      <w:r>
        <w:rPr>
          <w:rFonts w:hint="eastAsia" w:ascii="宋体" w:hAnsi="宋体" w:eastAsia="宋体" w:cs="宋体"/>
          <w:b w:val="0"/>
          <w:bCs/>
          <w:sz w:val="28"/>
          <w:szCs w:val="28"/>
          <w:lang w:val="en-US" w:eastAsia="zh-CN"/>
        </w:rPr>
        <w:t>为一体的</w:t>
      </w:r>
      <w:r>
        <w:rPr>
          <w:rFonts w:hint="eastAsia" w:ascii="宋体" w:hAnsi="宋体" w:cs="宋体"/>
          <w:b w:val="0"/>
          <w:bCs/>
          <w:sz w:val="28"/>
          <w:szCs w:val="28"/>
          <w:lang w:val="en-US" w:eastAsia="zh-CN"/>
        </w:rPr>
        <w:t>高新技术企业</w:t>
      </w:r>
      <w:r>
        <w:rPr>
          <w:rFonts w:hint="eastAsia"/>
          <w:b w:val="0"/>
          <w:bCs/>
          <w:sz w:val="28"/>
          <w:szCs w:val="28"/>
          <w:lang w:val="en-US" w:eastAsia="zh-CN"/>
        </w:rPr>
        <w:t>。</w:t>
      </w:r>
    </w:p>
    <w:p>
      <w:pPr>
        <w:pStyle w:val="6"/>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Theme="minorEastAsia" w:hAnsiTheme="minorEastAsia" w:eastAsiaTheme="minorEastAsia" w:cstheme="minorEastAsia"/>
          <w:b/>
          <w:bCs w:val="0"/>
          <w:sz w:val="28"/>
          <w:szCs w:val="28"/>
          <w:lang w:eastAsia="zh-CN"/>
        </w:rPr>
      </w:pPr>
      <w:r>
        <w:rPr>
          <w:rFonts w:hint="eastAsia" w:asciiTheme="minorEastAsia" w:hAnsiTheme="minorEastAsia" w:eastAsiaTheme="minorEastAsia" w:cstheme="minorEastAsia"/>
          <w:b/>
          <w:bCs w:val="0"/>
          <w:sz w:val="28"/>
          <w:szCs w:val="28"/>
          <w:lang w:eastAsia="zh-CN"/>
        </w:rPr>
        <w:t>二、公司宗旨：</w:t>
      </w:r>
    </w:p>
    <w:p>
      <w:pPr>
        <w:pStyle w:val="6"/>
        <w:pageBreakBefore w:val="0"/>
        <w:widowControl w:val="0"/>
        <w:kinsoku/>
        <w:wordWrap/>
        <w:overflowPunct/>
        <w:topLinePunct w:val="0"/>
        <w:autoSpaceDE/>
        <w:autoSpaceDN/>
        <w:bidi w:val="0"/>
        <w:adjustRightInd/>
        <w:snapToGrid/>
        <w:spacing w:line="240" w:lineRule="auto"/>
        <w:ind w:left="0" w:leftChars="0" w:firstLine="562" w:firstLineChars="200"/>
        <w:textAlignment w:val="auto"/>
        <w:rPr>
          <w:rFonts w:hint="eastAsia" w:asciiTheme="minorEastAsia" w:hAnsiTheme="minorEastAsia" w:eastAsiaTheme="minorEastAsia" w:cstheme="minorEastAsia"/>
          <w:b/>
          <w:bCs w:val="0"/>
          <w:sz w:val="28"/>
          <w:szCs w:val="28"/>
          <w:lang w:eastAsia="zh-CN"/>
        </w:rPr>
      </w:pPr>
      <w:r>
        <w:rPr>
          <w:rFonts w:hint="eastAsia" w:asciiTheme="minorEastAsia" w:hAnsiTheme="minorEastAsia" w:eastAsiaTheme="minorEastAsia" w:cstheme="minorEastAsia"/>
          <w:b/>
          <w:bCs w:val="0"/>
          <w:sz w:val="28"/>
          <w:szCs w:val="28"/>
          <w:lang w:eastAsia="zh-CN"/>
        </w:rPr>
        <w:t>精准检测   正确选药    靶向治疗</w:t>
      </w:r>
    </w:p>
    <w:p>
      <w:pPr>
        <w:pStyle w:val="6"/>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Theme="minorEastAsia" w:hAnsiTheme="minorEastAsia" w:eastAsiaTheme="minorEastAsia" w:cstheme="minorEastAsia"/>
          <w:b/>
          <w:bCs w:val="0"/>
          <w:sz w:val="28"/>
          <w:szCs w:val="28"/>
        </w:rPr>
      </w:pPr>
      <w:r>
        <w:rPr>
          <w:rFonts w:hint="eastAsia" w:asciiTheme="minorEastAsia" w:hAnsiTheme="minorEastAsia" w:eastAsiaTheme="minorEastAsia" w:cstheme="minorEastAsia"/>
          <w:b w:val="0"/>
          <w:bCs/>
          <w:sz w:val="28"/>
          <w:szCs w:val="28"/>
        </w:rPr>
        <w:t>开创量子医学高新科技，促进中西医结合，实现中医科技化、国际化，造福于人类健康事业。</w:t>
      </w:r>
    </w:p>
    <w:p>
      <w:pPr>
        <w:pStyle w:val="2"/>
        <w:keepNext/>
        <w:keepLines/>
        <w:pageBreakBefore w:val="0"/>
        <w:widowControl w:val="0"/>
        <w:kinsoku/>
        <w:wordWrap/>
        <w:overflowPunct/>
        <w:topLinePunct w:val="0"/>
        <w:autoSpaceDE/>
        <w:autoSpaceDN/>
        <w:bidi w:val="0"/>
        <w:adjustRightInd/>
        <w:snapToGrid/>
        <w:spacing w:before="0" w:after="0" w:line="240" w:lineRule="auto"/>
        <w:jc w:val="both"/>
        <w:textAlignment w:val="auto"/>
        <w:outlineLvl w:val="0"/>
        <w:rPr>
          <w:rFonts w:hint="eastAsia" w:asciiTheme="minorEastAsia" w:hAnsiTheme="minorEastAsia" w:eastAsiaTheme="minorEastAsia" w:cstheme="minorEastAsia"/>
          <w:b/>
          <w:bCs w:val="0"/>
          <w:sz w:val="28"/>
          <w:szCs w:val="28"/>
        </w:rPr>
      </w:pPr>
      <w:r>
        <w:rPr>
          <w:rFonts w:hint="eastAsia" w:asciiTheme="minorEastAsia" w:hAnsiTheme="minorEastAsia" w:eastAsiaTheme="minorEastAsia" w:cstheme="minorEastAsia"/>
          <w:b/>
          <w:bCs w:val="0"/>
          <w:sz w:val="28"/>
          <w:szCs w:val="28"/>
          <w:lang w:eastAsia="zh-CN"/>
        </w:rPr>
        <w:t>三、</w:t>
      </w:r>
      <w:r>
        <w:rPr>
          <w:rFonts w:hint="eastAsia" w:asciiTheme="minorEastAsia" w:hAnsiTheme="minorEastAsia" w:eastAsiaTheme="minorEastAsia" w:cstheme="minorEastAsia"/>
          <w:b/>
          <w:bCs w:val="0"/>
          <w:sz w:val="28"/>
          <w:szCs w:val="28"/>
        </w:rPr>
        <w:t>量子共振检测仪在临床中的作用</w:t>
      </w:r>
      <w:bookmarkEnd w:id="0"/>
      <w:bookmarkEnd w:id="1"/>
    </w:p>
    <w:p>
      <w:pPr>
        <w:pageBreakBefore w:val="0"/>
        <w:kinsoku/>
        <w:wordWrap/>
        <w:overflowPunct/>
        <w:topLinePunct w:val="0"/>
        <w:autoSpaceDE/>
        <w:autoSpaceDN/>
        <w:bidi w:val="0"/>
        <w:adjustRightInd/>
        <w:snapToGrid/>
        <w:spacing w:line="240" w:lineRule="auto"/>
        <w:ind w:firstLine="600" w:firstLineChars="250"/>
        <w:textAlignment w:val="auto"/>
        <w:rPr>
          <w:rFonts w:hint="eastAsia" w:asciiTheme="minorEastAsia" w:hAnsiTheme="minorEastAsia" w:eastAsiaTheme="minorEastAsia" w:cstheme="minorEastAsia"/>
          <w:b w:val="0"/>
          <w:bCs/>
          <w:sz w:val="28"/>
          <w:szCs w:val="28"/>
          <w:lang w:eastAsia="zh-CN"/>
        </w:rPr>
      </w:pPr>
      <w:r>
        <w:rPr>
          <w:rFonts w:hint="eastAsia" w:asciiTheme="minorEastAsia" w:hAnsiTheme="minorEastAsia" w:eastAsiaTheme="minorEastAsia" w:cstheme="minorEastAsia"/>
          <w:b w:val="0"/>
          <w:bCs/>
          <w:sz w:val="24"/>
          <w:szCs w:val="24"/>
        </w:rPr>
        <w:t>QRS量子共振检测仪</w:t>
      </w:r>
      <w:r>
        <w:rPr>
          <w:rFonts w:hint="eastAsia" w:asciiTheme="minorEastAsia" w:hAnsiTheme="minorEastAsia" w:eastAsiaTheme="minorEastAsia" w:cstheme="minorEastAsia"/>
          <w:b w:val="0"/>
          <w:bCs/>
          <w:sz w:val="24"/>
          <w:szCs w:val="24"/>
          <w:lang w:eastAsia="zh-CN"/>
        </w:rPr>
        <w:t>，</w:t>
      </w:r>
      <w:r>
        <w:rPr>
          <w:rFonts w:hint="eastAsia" w:asciiTheme="minorEastAsia" w:hAnsiTheme="minorEastAsia" w:eastAsiaTheme="minorEastAsia" w:cstheme="minorEastAsia"/>
          <w:b w:val="0"/>
          <w:bCs/>
          <w:sz w:val="24"/>
          <w:szCs w:val="24"/>
        </w:rPr>
        <w:t>作</w:t>
      </w:r>
      <w:r>
        <w:rPr>
          <w:rFonts w:hint="eastAsia" w:asciiTheme="minorEastAsia" w:hAnsiTheme="minorEastAsia" w:eastAsiaTheme="minorEastAsia" w:cstheme="minorEastAsia"/>
          <w:b w:val="0"/>
          <w:bCs/>
          <w:sz w:val="28"/>
          <w:szCs w:val="28"/>
        </w:rPr>
        <w:t>为高科技产业开发的医疗检测设备，能够准确测出人体细胞微弱磁场的异常改变和各种疾病。用于临床诊断，具有快速、灵敏、准确、简便、无创伤、可重复性等优点。适应健康普查和疑难病筛选。对各种疑难疾病提出诊断线索，对肿瘤的早期发现有很高的灵敏度，识别病原因子</w:t>
      </w:r>
      <w:r>
        <w:rPr>
          <w:rFonts w:hint="eastAsia" w:asciiTheme="minorEastAsia" w:hAnsiTheme="minorEastAsia" w:eastAsiaTheme="minorEastAsia" w:cstheme="minorEastAsia"/>
          <w:b w:val="0"/>
          <w:bCs/>
          <w:sz w:val="28"/>
          <w:szCs w:val="28"/>
          <w:lang w:eastAsia="zh-CN"/>
        </w:rPr>
        <w:t>、</w:t>
      </w:r>
      <w:r>
        <w:rPr>
          <w:rFonts w:hint="eastAsia" w:asciiTheme="minorEastAsia" w:hAnsiTheme="minorEastAsia" w:eastAsiaTheme="minorEastAsia" w:cstheme="minorEastAsia"/>
          <w:b w:val="0"/>
          <w:bCs/>
          <w:sz w:val="28"/>
          <w:szCs w:val="28"/>
        </w:rPr>
        <w:t>过敏源、不明高低烧、炎症发病原（病毒、细菌、真菌）的查找和鉴别、检测人体内是否有重金属</w:t>
      </w:r>
      <w:r>
        <w:rPr>
          <w:rFonts w:hint="eastAsia" w:asciiTheme="minorEastAsia" w:hAnsiTheme="minorEastAsia" w:eastAsiaTheme="minorEastAsia" w:cstheme="minorEastAsia"/>
          <w:b w:val="0"/>
          <w:bCs/>
          <w:sz w:val="28"/>
          <w:szCs w:val="28"/>
          <w:lang w:eastAsia="zh-CN"/>
        </w:rPr>
        <w:t>、</w:t>
      </w:r>
      <w:r>
        <w:rPr>
          <w:rFonts w:hint="eastAsia" w:asciiTheme="minorEastAsia" w:hAnsiTheme="minorEastAsia" w:eastAsiaTheme="minorEastAsia" w:cstheme="minorEastAsia"/>
          <w:b w:val="0"/>
          <w:bCs/>
          <w:sz w:val="28"/>
          <w:szCs w:val="28"/>
        </w:rPr>
        <w:t>化学类对人体有害的物质，分析各种不健康的原因，显示了极高的准确率</w:t>
      </w:r>
      <w:r>
        <w:rPr>
          <w:rFonts w:hint="eastAsia" w:asciiTheme="minorEastAsia" w:hAnsiTheme="minorEastAsia" w:eastAsiaTheme="minorEastAsia" w:cstheme="minorEastAsia"/>
          <w:b w:val="0"/>
          <w:bCs/>
          <w:sz w:val="28"/>
          <w:szCs w:val="28"/>
          <w:lang w:eastAsia="zh-CN"/>
        </w:rPr>
        <w:t>。</w:t>
      </w:r>
    </w:p>
    <w:p>
      <w:pPr>
        <w:pageBreakBefore w:val="0"/>
        <w:kinsoku/>
        <w:wordWrap/>
        <w:overflowPunct/>
        <w:topLinePunct w:val="0"/>
        <w:autoSpaceDE/>
        <w:autoSpaceDN/>
        <w:bidi w:val="0"/>
        <w:adjustRightInd/>
        <w:snapToGrid/>
        <w:spacing w:line="240" w:lineRule="auto"/>
        <w:ind w:firstLine="523" w:firstLineChars="187"/>
        <w:textAlignment w:val="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测患者某脏器是否有病变时，将某种药物与患者毛发同入在测试板上，只须将其毛发或尿液中所含某脏器磁场是否与电脑设定的代码共鸣即可作出诊断，若共鸣则为正常，若非共鸣则表示已病变。在对病情的判定上用数值可以判断病情的早、中、晚期，从而达到早期诊断和预防的目的。这种方法对中草药的筛选复方制剂药效的早期鉴定及药品真伪的鉴别都有良好的使用前景。</w:t>
      </w:r>
    </w:p>
    <w:p>
      <w:pPr>
        <w:pageBreakBefore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
          <w:bCs w:val="0"/>
          <w:sz w:val="28"/>
          <w:szCs w:val="28"/>
          <w:lang w:eastAsia="zh-CN"/>
        </w:rPr>
      </w:pPr>
      <w:r>
        <w:rPr>
          <w:rFonts w:hint="eastAsia" w:asciiTheme="minorEastAsia" w:hAnsiTheme="minorEastAsia" w:eastAsiaTheme="minorEastAsia" w:cstheme="minorEastAsia"/>
          <w:b/>
          <w:bCs w:val="0"/>
          <w:sz w:val="28"/>
          <w:szCs w:val="28"/>
          <w:lang w:eastAsia="zh-CN"/>
        </w:rPr>
        <w:t>四、量子检测的适宜人群：</w:t>
      </w:r>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1、中老年人群。</w:t>
      </w:r>
    </w:p>
    <w:p>
      <w:pPr>
        <w:pageBreakBefore w:val="0"/>
        <w:kinsoku/>
        <w:wordWrap/>
        <w:overflowPunct/>
        <w:topLinePunct w:val="0"/>
        <w:autoSpaceDE/>
        <w:autoSpaceDN/>
        <w:bidi w:val="0"/>
        <w:adjustRightInd/>
        <w:snapToGrid/>
        <w:spacing w:line="240" w:lineRule="auto"/>
        <w:ind w:firstLine="560" w:firstLineChars="200"/>
        <w:textAlignment w:val="auto"/>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2、有肿瘤家族史或发现癌前病变者。</w:t>
      </w:r>
    </w:p>
    <w:p>
      <w:pPr>
        <w:pageBreakBefore w:val="0"/>
        <w:kinsoku/>
        <w:wordWrap/>
        <w:overflowPunct/>
        <w:topLinePunct w:val="0"/>
        <w:autoSpaceDE/>
        <w:autoSpaceDN/>
        <w:bidi w:val="0"/>
        <w:adjustRightInd/>
        <w:snapToGrid/>
        <w:spacing w:line="240" w:lineRule="auto"/>
        <w:ind w:firstLine="560" w:firstLineChars="200"/>
        <w:textAlignment w:val="auto"/>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3、经常接触致癌因子者(如辐射、重金属等)或有不良嗜好者(如:吸烟、酗酒等)。</w:t>
      </w:r>
    </w:p>
    <w:p>
      <w:pPr>
        <w:pageBreakBefore w:val="0"/>
        <w:kinsoku/>
        <w:wordWrap/>
        <w:overflowPunct/>
        <w:topLinePunct w:val="0"/>
        <w:autoSpaceDE/>
        <w:autoSpaceDN/>
        <w:bidi w:val="0"/>
        <w:adjustRightInd/>
        <w:snapToGrid/>
        <w:spacing w:line="240" w:lineRule="auto"/>
        <w:ind w:firstLine="560" w:firstLineChars="200"/>
        <w:textAlignment w:val="auto"/>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4、怀疑肿瘤患者需定期进行跟踪者。</w:t>
      </w:r>
    </w:p>
    <w:p>
      <w:pPr>
        <w:pageBreakBefore w:val="0"/>
        <w:kinsoku/>
        <w:wordWrap/>
        <w:overflowPunct/>
        <w:topLinePunct w:val="0"/>
        <w:autoSpaceDE/>
        <w:autoSpaceDN/>
        <w:bidi w:val="0"/>
        <w:adjustRightInd/>
        <w:snapToGrid/>
        <w:spacing w:line="240" w:lineRule="auto"/>
        <w:ind w:firstLine="560" w:firstLineChars="200"/>
        <w:textAlignment w:val="auto"/>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5、有严重临床症状未查出原因者。</w:t>
      </w:r>
    </w:p>
    <w:p>
      <w:pPr>
        <w:pageBreakBefore w:val="0"/>
        <w:kinsoku/>
        <w:wordWrap/>
        <w:overflowPunct/>
        <w:topLinePunct w:val="0"/>
        <w:autoSpaceDE/>
        <w:autoSpaceDN/>
        <w:bidi w:val="0"/>
        <w:adjustRightInd/>
        <w:snapToGrid/>
        <w:spacing w:line="240" w:lineRule="auto"/>
        <w:ind w:firstLine="560" w:firstLineChars="200"/>
        <w:textAlignment w:val="auto"/>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6、营养不良、微量元素缺乏者。</w:t>
      </w:r>
    </w:p>
    <w:p>
      <w:pPr>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bCs w:val="0"/>
          <w:sz w:val="28"/>
          <w:szCs w:val="28"/>
          <w:lang w:val="en-US" w:eastAsia="zh-CN"/>
        </w:rPr>
      </w:pPr>
      <w:r>
        <w:rPr>
          <w:rFonts w:hint="eastAsia" w:asciiTheme="minorEastAsia" w:hAnsiTheme="minorEastAsia" w:eastAsiaTheme="minorEastAsia" w:cstheme="minorEastAsia"/>
          <w:b/>
          <w:bCs w:val="0"/>
          <w:sz w:val="28"/>
          <w:szCs w:val="28"/>
          <w:lang w:val="en-US" w:eastAsia="zh-CN"/>
        </w:rPr>
        <w:t>五、检测项目包括：</w:t>
      </w:r>
    </w:p>
    <w:p>
      <w:pPr>
        <w:pageBreakBefore w:val="0"/>
        <w:kinsoku/>
        <w:wordWrap/>
        <w:overflowPunct/>
        <w:topLinePunct w:val="0"/>
        <w:autoSpaceDE/>
        <w:autoSpaceDN/>
        <w:bidi w:val="0"/>
        <w:adjustRightInd/>
        <w:snapToGrid/>
        <w:spacing w:line="240" w:lineRule="auto"/>
        <w:ind w:firstLine="560" w:firstLineChars="200"/>
        <w:textAlignment w:val="auto"/>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心脏、肝脏、脾脏、胃、肠道、结肠、肺、食道、脑、脑血管、神经系统、淋巴系统、细菌、病毒、真菌、血压、血糖、免疫系统、脊椎、肿瘤等。</w:t>
      </w:r>
    </w:p>
    <w:p>
      <w:pPr>
        <w:pStyle w:val="4"/>
        <w:keepNext/>
        <w:keepLines/>
        <w:pageBreakBefore w:val="0"/>
        <w:widowControl w:val="0"/>
        <w:kinsoku/>
        <w:wordWrap/>
        <w:overflowPunct/>
        <w:topLinePunct w:val="0"/>
        <w:autoSpaceDE/>
        <w:autoSpaceDN/>
        <w:bidi w:val="0"/>
        <w:adjustRightInd/>
        <w:snapToGrid/>
        <w:spacing w:before="0" w:after="0" w:line="240" w:lineRule="auto"/>
        <w:jc w:val="both"/>
        <w:textAlignment w:val="auto"/>
        <w:outlineLvl w:val="3"/>
        <w:rPr>
          <w:rFonts w:hint="eastAsia" w:asciiTheme="minorEastAsia" w:hAnsiTheme="minorEastAsia" w:eastAsiaTheme="minorEastAsia" w:cstheme="minorEastAsia"/>
          <w:b/>
          <w:bCs w:val="0"/>
          <w:sz w:val="28"/>
          <w:szCs w:val="28"/>
          <w:lang w:val="en-US" w:eastAsia="zh-CN"/>
        </w:rPr>
      </w:pPr>
      <w:r>
        <w:rPr>
          <w:rFonts w:hint="eastAsia" w:asciiTheme="minorEastAsia" w:hAnsiTheme="minorEastAsia" w:eastAsiaTheme="minorEastAsia" w:cstheme="minorEastAsia"/>
          <w:b/>
          <w:bCs w:val="0"/>
          <w:sz w:val="28"/>
          <w:szCs w:val="28"/>
          <w:lang w:val="en-US" w:eastAsia="zh-CN"/>
        </w:rPr>
        <w:t>六、量子共振分析检测仪临床检测准确率报告：</w:t>
      </w:r>
    </w:p>
    <w:tbl>
      <w:tblPr>
        <w:tblStyle w:val="1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3716"/>
        <w:gridCol w:w="1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2840" w:type="dxa"/>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center"/>
              <w:textAlignment w:val="auto"/>
              <w:outlineLvl w:val="9"/>
              <w:rPr>
                <w:rFonts w:hint="eastAsia" w:asciiTheme="minorEastAsia" w:hAnsiTheme="minorEastAsia" w:eastAsiaTheme="minorEastAsia" w:cstheme="minorEastAsia"/>
                <w:b w:val="0"/>
                <w:bCs/>
                <w:sz w:val="28"/>
                <w:szCs w:val="28"/>
                <w:vertAlign w:val="baseline"/>
                <w:lang w:val="en-US" w:eastAsia="zh-CN"/>
              </w:rPr>
            </w:pPr>
            <w:r>
              <w:rPr>
                <w:rFonts w:hint="eastAsia" w:asciiTheme="minorEastAsia" w:hAnsiTheme="minorEastAsia" w:eastAsiaTheme="minorEastAsia" w:cstheme="minorEastAsia"/>
                <w:b w:val="0"/>
                <w:bCs/>
                <w:sz w:val="28"/>
                <w:szCs w:val="28"/>
                <w:vertAlign w:val="baseline"/>
                <w:lang w:val="en-US" w:eastAsia="zh-CN"/>
              </w:rPr>
              <w:t>医院名称</w:t>
            </w:r>
          </w:p>
        </w:tc>
        <w:tc>
          <w:tcPr>
            <w:tcW w:w="3716" w:type="dxa"/>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center"/>
              <w:textAlignment w:val="auto"/>
              <w:outlineLvl w:val="9"/>
              <w:rPr>
                <w:rFonts w:hint="eastAsia" w:asciiTheme="minorEastAsia" w:hAnsiTheme="minorEastAsia" w:eastAsiaTheme="minorEastAsia" w:cstheme="minorEastAsia"/>
                <w:b w:val="0"/>
                <w:bCs/>
                <w:sz w:val="28"/>
                <w:szCs w:val="28"/>
                <w:vertAlign w:val="baseline"/>
                <w:lang w:val="en-US" w:eastAsia="zh-CN"/>
              </w:rPr>
            </w:pPr>
            <w:r>
              <w:rPr>
                <w:rFonts w:hint="eastAsia" w:asciiTheme="minorEastAsia" w:hAnsiTheme="minorEastAsia" w:eastAsiaTheme="minorEastAsia" w:cstheme="minorEastAsia"/>
                <w:b w:val="0"/>
                <w:bCs/>
                <w:sz w:val="28"/>
                <w:szCs w:val="28"/>
                <w:vertAlign w:val="baseline"/>
                <w:lang w:val="en-US" w:eastAsia="zh-CN"/>
              </w:rPr>
              <w:t>检测人群数据</w:t>
            </w:r>
          </w:p>
        </w:tc>
        <w:tc>
          <w:tcPr>
            <w:tcW w:w="1966" w:type="dxa"/>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center"/>
              <w:textAlignment w:val="auto"/>
              <w:outlineLvl w:val="9"/>
              <w:rPr>
                <w:rFonts w:hint="eastAsia" w:asciiTheme="minorEastAsia" w:hAnsiTheme="minorEastAsia" w:eastAsiaTheme="minorEastAsia" w:cstheme="minorEastAsia"/>
                <w:b w:val="0"/>
                <w:bCs/>
                <w:sz w:val="28"/>
                <w:szCs w:val="28"/>
                <w:vertAlign w:val="baseline"/>
                <w:lang w:val="en-US" w:eastAsia="zh-CN"/>
              </w:rPr>
            </w:pPr>
            <w:r>
              <w:rPr>
                <w:rFonts w:hint="eastAsia" w:asciiTheme="minorEastAsia" w:hAnsiTheme="minorEastAsia" w:eastAsiaTheme="minorEastAsia" w:cstheme="minorEastAsia"/>
                <w:b w:val="0"/>
                <w:bCs/>
                <w:sz w:val="28"/>
                <w:szCs w:val="28"/>
                <w:vertAlign w:val="baseline"/>
                <w:lang w:val="en-US" w:eastAsia="zh-CN"/>
              </w:rPr>
              <w:t>准确率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exact"/>
          <w:jc w:val="center"/>
        </w:trPr>
        <w:tc>
          <w:tcPr>
            <w:tcW w:w="2840" w:type="dxa"/>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center"/>
              <w:textAlignment w:val="auto"/>
              <w:outlineLvl w:val="9"/>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上海市第六人民医院</w:t>
            </w:r>
          </w:p>
        </w:tc>
        <w:tc>
          <w:tcPr>
            <w:tcW w:w="3716" w:type="dxa"/>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center"/>
              <w:textAlignment w:val="auto"/>
              <w:outlineLvl w:val="9"/>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肿瘤诊断60例</w:t>
            </w:r>
          </w:p>
        </w:tc>
        <w:tc>
          <w:tcPr>
            <w:tcW w:w="1966" w:type="dxa"/>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center"/>
              <w:textAlignment w:val="auto"/>
              <w:outlineLvl w:val="9"/>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4" w:hRule="exact"/>
          <w:jc w:val="center"/>
        </w:trPr>
        <w:tc>
          <w:tcPr>
            <w:tcW w:w="2840" w:type="dxa"/>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center"/>
              <w:textAlignment w:val="auto"/>
              <w:outlineLvl w:val="9"/>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重庆市肿瘤医院</w:t>
            </w:r>
          </w:p>
        </w:tc>
        <w:tc>
          <w:tcPr>
            <w:tcW w:w="3716" w:type="dxa"/>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center"/>
              <w:textAlignment w:val="auto"/>
              <w:outlineLvl w:val="9"/>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肿瘤205例，非肿瘤人群102例</w:t>
            </w:r>
          </w:p>
        </w:tc>
        <w:tc>
          <w:tcPr>
            <w:tcW w:w="1966" w:type="dxa"/>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center"/>
              <w:textAlignment w:val="auto"/>
              <w:outlineLvl w:val="9"/>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91.67%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exact"/>
          <w:jc w:val="center"/>
        </w:trPr>
        <w:tc>
          <w:tcPr>
            <w:tcW w:w="2840" w:type="dxa"/>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center"/>
              <w:textAlignment w:val="auto"/>
              <w:outlineLvl w:val="9"/>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重庆市中山医院</w:t>
            </w:r>
          </w:p>
        </w:tc>
        <w:tc>
          <w:tcPr>
            <w:tcW w:w="3716" w:type="dxa"/>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center"/>
              <w:textAlignment w:val="auto"/>
              <w:outlineLvl w:val="9"/>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肿瘤诊断205例，非肿瘤人群102例</w:t>
            </w:r>
          </w:p>
        </w:tc>
        <w:tc>
          <w:tcPr>
            <w:tcW w:w="1966" w:type="dxa"/>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center"/>
              <w:textAlignment w:val="auto"/>
              <w:outlineLvl w:val="9"/>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准确率90.73%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4" w:hRule="exact"/>
          <w:jc w:val="center"/>
        </w:trPr>
        <w:tc>
          <w:tcPr>
            <w:tcW w:w="2840" w:type="dxa"/>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center"/>
              <w:textAlignment w:val="auto"/>
              <w:outlineLvl w:val="9"/>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重庆市中医研究所</w:t>
            </w:r>
          </w:p>
        </w:tc>
        <w:tc>
          <w:tcPr>
            <w:tcW w:w="3716" w:type="dxa"/>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center"/>
              <w:textAlignment w:val="auto"/>
              <w:outlineLvl w:val="9"/>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肿瘤诊断205例，非肿瘤人群102例</w:t>
            </w:r>
          </w:p>
        </w:tc>
        <w:tc>
          <w:tcPr>
            <w:tcW w:w="1966" w:type="dxa"/>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center"/>
              <w:textAlignment w:val="auto"/>
              <w:outlineLvl w:val="9"/>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准确率91.21%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exact"/>
          <w:jc w:val="center"/>
        </w:trPr>
        <w:tc>
          <w:tcPr>
            <w:tcW w:w="2840" w:type="dxa"/>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center"/>
              <w:textAlignment w:val="auto"/>
              <w:outlineLvl w:val="9"/>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上海市级医院</w:t>
            </w:r>
          </w:p>
        </w:tc>
        <w:tc>
          <w:tcPr>
            <w:tcW w:w="3716" w:type="dxa"/>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center"/>
              <w:textAlignment w:val="auto"/>
              <w:outlineLvl w:val="9"/>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肿瘤及特定项目诊断138例</w:t>
            </w:r>
          </w:p>
        </w:tc>
        <w:tc>
          <w:tcPr>
            <w:tcW w:w="1966" w:type="dxa"/>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center"/>
              <w:textAlignment w:val="auto"/>
              <w:outlineLvl w:val="9"/>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exact"/>
          <w:jc w:val="center"/>
        </w:trPr>
        <w:tc>
          <w:tcPr>
            <w:tcW w:w="2840" w:type="dxa"/>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center"/>
              <w:textAlignment w:val="auto"/>
              <w:outlineLvl w:val="9"/>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解放军白求恩医院</w:t>
            </w:r>
          </w:p>
        </w:tc>
        <w:tc>
          <w:tcPr>
            <w:tcW w:w="3716" w:type="dxa"/>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center"/>
              <w:textAlignment w:val="auto"/>
              <w:outlineLvl w:val="9"/>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肿瘤诊断312例</w:t>
            </w:r>
          </w:p>
        </w:tc>
        <w:tc>
          <w:tcPr>
            <w:tcW w:w="1966" w:type="dxa"/>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center"/>
              <w:textAlignment w:val="auto"/>
              <w:outlineLvl w:val="9"/>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exact"/>
          <w:jc w:val="center"/>
        </w:trPr>
        <w:tc>
          <w:tcPr>
            <w:tcW w:w="2840" w:type="dxa"/>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center"/>
              <w:textAlignment w:val="auto"/>
              <w:outlineLvl w:val="9"/>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大连医科大学附属第二医院</w:t>
            </w:r>
          </w:p>
        </w:tc>
        <w:tc>
          <w:tcPr>
            <w:tcW w:w="3716" w:type="dxa"/>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center"/>
              <w:textAlignment w:val="auto"/>
              <w:outlineLvl w:val="9"/>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肿瘤/各种疾病诊断82例</w:t>
            </w:r>
          </w:p>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center"/>
              <w:textAlignment w:val="auto"/>
              <w:outlineLvl w:val="9"/>
              <w:rPr>
                <w:rFonts w:hint="eastAsia" w:asciiTheme="minorEastAsia" w:hAnsiTheme="minorEastAsia" w:eastAsiaTheme="minorEastAsia" w:cstheme="minorEastAsia"/>
                <w:b w:val="0"/>
                <w:bCs/>
                <w:sz w:val="28"/>
                <w:szCs w:val="28"/>
                <w:lang w:val="en-US" w:eastAsia="zh-CN"/>
              </w:rPr>
            </w:pPr>
          </w:p>
        </w:tc>
        <w:tc>
          <w:tcPr>
            <w:tcW w:w="1966" w:type="dxa"/>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center"/>
              <w:textAlignment w:val="auto"/>
              <w:outlineLvl w:val="9"/>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91.95%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exact"/>
          <w:jc w:val="center"/>
        </w:trPr>
        <w:tc>
          <w:tcPr>
            <w:tcW w:w="2840" w:type="dxa"/>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center"/>
              <w:textAlignment w:val="auto"/>
              <w:outlineLvl w:val="9"/>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上海交通大学</w:t>
            </w:r>
          </w:p>
        </w:tc>
        <w:tc>
          <w:tcPr>
            <w:tcW w:w="3716" w:type="dxa"/>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center"/>
              <w:textAlignment w:val="auto"/>
              <w:outlineLvl w:val="9"/>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健康普查100例</w:t>
            </w:r>
          </w:p>
        </w:tc>
        <w:tc>
          <w:tcPr>
            <w:tcW w:w="1966" w:type="dxa"/>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center"/>
              <w:textAlignment w:val="auto"/>
              <w:outlineLvl w:val="9"/>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92.8%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exact"/>
          <w:jc w:val="center"/>
        </w:trPr>
        <w:tc>
          <w:tcPr>
            <w:tcW w:w="2840" w:type="dxa"/>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center"/>
              <w:textAlignment w:val="auto"/>
              <w:outlineLvl w:val="9"/>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北京中西医结合医院</w:t>
            </w:r>
          </w:p>
        </w:tc>
        <w:tc>
          <w:tcPr>
            <w:tcW w:w="3716" w:type="dxa"/>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center"/>
              <w:textAlignment w:val="auto"/>
              <w:outlineLvl w:val="9"/>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肿瘤/各种疾病诊断100例</w:t>
            </w:r>
          </w:p>
        </w:tc>
        <w:tc>
          <w:tcPr>
            <w:tcW w:w="1966" w:type="dxa"/>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center"/>
              <w:textAlignment w:val="auto"/>
              <w:outlineLvl w:val="9"/>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91.8%</w:t>
            </w:r>
          </w:p>
        </w:tc>
      </w:tr>
    </w:tbl>
    <w:p>
      <w:pPr>
        <w:pStyle w:val="6"/>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Theme="minorEastAsia" w:hAnsiTheme="minorEastAsia" w:eastAsiaTheme="minorEastAsia" w:cstheme="minorEastAsia"/>
          <w:b/>
          <w:bCs w:val="0"/>
          <w:sz w:val="28"/>
          <w:szCs w:val="28"/>
          <w:lang w:eastAsia="zh-CN"/>
        </w:rPr>
      </w:pPr>
      <w:r>
        <w:rPr>
          <w:rFonts w:hint="eastAsia" w:asciiTheme="minorEastAsia" w:hAnsiTheme="minorEastAsia" w:eastAsiaTheme="minorEastAsia" w:cstheme="minorEastAsia"/>
          <w:b/>
          <w:bCs w:val="0"/>
          <w:sz w:val="28"/>
          <w:szCs w:val="28"/>
          <w:lang w:eastAsia="zh-CN"/>
        </w:rPr>
        <w:t>七、为什么用毛发、尿液可以测得全身的疾病？</w:t>
      </w:r>
    </w:p>
    <w:p>
      <w:pPr>
        <w:pStyle w:val="6"/>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水是万物之源，人体的水占体重的70%，水分子的立体结构具有传达、储存微弱磁场的作用</w:t>
      </w:r>
      <w:r>
        <w:rPr>
          <w:rFonts w:hint="eastAsia" w:asciiTheme="minorEastAsia" w:hAnsiTheme="minorEastAsia" w:eastAsiaTheme="minorEastAsia" w:cstheme="minorEastAsia"/>
          <w:b w:val="0"/>
          <w:bCs/>
          <w:sz w:val="28"/>
          <w:szCs w:val="28"/>
          <w:lang w:eastAsia="zh-CN"/>
        </w:rPr>
        <w:t>。</w:t>
      </w:r>
      <w:r>
        <w:rPr>
          <w:rFonts w:hint="eastAsia" w:asciiTheme="minorEastAsia" w:hAnsiTheme="minorEastAsia" w:eastAsiaTheme="minorEastAsia" w:cstheme="minorEastAsia"/>
          <w:b w:val="0"/>
          <w:bCs/>
          <w:sz w:val="28"/>
          <w:szCs w:val="28"/>
        </w:rPr>
        <w:t>水中的矿物质</w:t>
      </w:r>
      <w:r>
        <w:rPr>
          <w:rFonts w:hint="eastAsia" w:asciiTheme="minorEastAsia" w:hAnsiTheme="minorEastAsia" w:eastAsiaTheme="minorEastAsia" w:cstheme="minorEastAsia"/>
          <w:b w:val="0"/>
          <w:bCs/>
          <w:sz w:val="28"/>
          <w:szCs w:val="28"/>
          <w:lang w:eastAsia="zh-CN"/>
        </w:rPr>
        <w:t>、</w:t>
      </w:r>
      <w:r>
        <w:rPr>
          <w:rFonts w:hint="eastAsia" w:asciiTheme="minorEastAsia" w:hAnsiTheme="minorEastAsia" w:eastAsiaTheme="minorEastAsia" w:cstheme="minorEastAsia"/>
          <w:b w:val="0"/>
          <w:bCs/>
          <w:sz w:val="28"/>
          <w:szCs w:val="28"/>
        </w:rPr>
        <w:t>微量金属是强磁性体，能发挥理想的磁场记忆作用，它在各脏器组织中运行，能记忆各脏器的磁场信息，并把它带到全身各处，起到了传达信息的作用。因此，可以用含有水分的毛发、尿液测得全身脏器的磁场以诊断疾病。</w:t>
      </w:r>
    </w:p>
    <w:p>
      <w:pPr>
        <w:pStyle w:val="6"/>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Theme="minorEastAsia" w:hAnsiTheme="minorEastAsia" w:eastAsiaTheme="minorEastAsia" w:cstheme="minorEastAsia"/>
          <w:b w:val="0"/>
          <w:bCs/>
          <w:sz w:val="28"/>
          <w:szCs w:val="28"/>
        </w:rPr>
      </w:pPr>
    </w:p>
    <w:p>
      <w:pPr>
        <w:pStyle w:val="6"/>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bCs w:val="0"/>
          <w:sz w:val="28"/>
          <w:szCs w:val="28"/>
        </w:rPr>
        <w:t>量子共振检测仪</w:t>
      </w:r>
    </w:p>
    <w:p>
      <w:pPr>
        <w:pageBreakBefore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drawing>
          <wp:inline distT="0" distB="0" distL="114300" distR="114300">
            <wp:extent cx="5259705" cy="5159375"/>
            <wp:effectExtent l="0" t="0" r="17145" b="3175"/>
            <wp:docPr id="3" name="图片 3" descr="产品易拉宝_转曲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产品易拉宝_转曲1645"/>
                    <pic:cNvPicPr>
                      <a:picLocks noChangeAspect="1"/>
                    </pic:cNvPicPr>
                  </pic:nvPicPr>
                  <pic:blipFill>
                    <a:blip r:embed="rId7"/>
                    <a:stretch>
                      <a:fillRect/>
                    </a:stretch>
                  </pic:blipFill>
                  <pic:spPr>
                    <a:xfrm>
                      <a:off x="0" y="0"/>
                      <a:ext cx="5259705" cy="5159375"/>
                    </a:xfrm>
                    <a:prstGeom prst="rect">
                      <a:avLst/>
                    </a:prstGeom>
                  </pic:spPr>
                </pic:pic>
              </a:graphicData>
            </a:graphic>
          </wp:inline>
        </w:drawing>
      </w:r>
    </w:p>
    <w:p>
      <w:pPr>
        <w:pageBreakBefore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drawing>
          <wp:inline distT="0" distB="0" distL="114300" distR="114300">
            <wp:extent cx="5081905" cy="9565640"/>
            <wp:effectExtent l="0" t="0" r="4445" b="16510"/>
            <wp:docPr id="2" name="图片 2" descr="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323"/>
                    <pic:cNvPicPr>
                      <a:picLocks noChangeAspect="1"/>
                    </pic:cNvPicPr>
                  </pic:nvPicPr>
                  <pic:blipFill>
                    <a:blip r:embed="rId8"/>
                    <a:stretch>
                      <a:fillRect/>
                    </a:stretch>
                  </pic:blipFill>
                  <pic:spPr>
                    <a:xfrm>
                      <a:off x="0" y="0"/>
                      <a:ext cx="5081905" cy="9565640"/>
                    </a:xfrm>
                    <a:prstGeom prst="rect">
                      <a:avLst/>
                    </a:prstGeom>
                  </pic:spPr>
                </pic:pic>
              </a:graphicData>
            </a:graphic>
          </wp:inline>
        </w:drawing>
      </w:r>
    </w:p>
    <w:p>
      <w:pPr>
        <w:jc w:val="both"/>
        <w:rPr>
          <w:rFonts w:hint="eastAsia" w:eastAsia="黑体"/>
          <w:b/>
          <w:sz w:val="48"/>
          <w:szCs w:val="48"/>
          <w:lang w:eastAsia="zh-CN"/>
        </w:rPr>
      </w:pPr>
    </w:p>
    <w:p>
      <w:pPr>
        <w:jc w:val="center"/>
        <w:rPr>
          <w:rFonts w:hint="eastAsia"/>
          <w:sz w:val="48"/>
          <w:szCs w:val="48"/>
          <w:lang w:eastAsia="zh-CN"/>
        </w:rPr>
      </w:pPr>
      <w:r>
        <w:rPr>
          <w:rFonts w:hint="eastAsia" w:eastAsia="黑体"/>
          <w:b/>
          <w:sz w:val="48"/>
          <w:szCs w:val="48"/>
          <w:lang w:eastAsia="zh-CN"/>
        </w:rPr>
        <w:t>杭州景逸堂医疗科技有限公司</w:t>
      </w:r>
    </w:p>
    <w:p>
      <w:pPr>
        <w:jc w:val="center"/>
        <w:rPr>
          <w:rFonts w:hint="eastAsia" w:ascii="宋体" w:hAnsi="宋体" w:eastAsia="宋体" w:cs="宋体"/>
          <w:b/>
          <w:bCs w:val="0"/>
          <w:sz w:val="36"/>
          <w:szCs w:val="36"/>
          <w:lang w:eastAsia="zh-CN"/>
        </w:rPr>
      </w:pPr>
      <w:r>
        <w:rPr>
          <w:rFonts w:hint="eastAsia" w:ascii="宋体" w:hAnsi="宋体" w:cs="宋体"/>
          <w:b/>
          <w:bCs w:val="0"/>
          <w:sz w:val="36"/>
          <w:szCs w:val="36"/>
          <w:lang w:eastAsia="zh-CN"/>
        </w:rPr>
        <w:t>校园招聘</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sz w:val="28"/>
          <w:szCs w:val="28"/>
          <w:lang w:val="en-US" w:eastAsia="zh-CN"/>
        </w:rPr>
      </w:pPr>
      <w:r>
        <w:rPr>
          <w:rFonts w:hint="eastAsia"/>
          <w:sz w:val="28"/>
          <w:szCs w:val="28"/>
          <w:lang w:val="en-US" w:eastAsia="zh-CN"/>
        </w:rPr>
        <w:t>招聘岗位：研发部检测人员，10名，20-35岁，大专及以上学历。</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sz w:val="28"/>
          <w:szCs w:val="28"/>
          <w:lang w:val="en-US" w:eastAsia="zh-CN"/>
        </w:rPr>
      </w:pPr>
      <w:r>
        <w:rPr>
          <w:rFonts w:hint="eastAsia"/>
          <w:sz w:val="28"/>
          <w:szCs w:val="28"/>
          <w:lang w:val="en-US" w:eastAsia="zh-CN"/>
        </w:rPr>
        <w:t>专业需求：健康管理、医学检验、生物技术、药学等专业，以及对量子检测有兴趣的医学院校的实习生、应届毕业生，往届生。</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eastAsia="宋体"/>
          <w:b w:val="0"/>
          <w:bCs/>
          <w:sz w:val="28"/>
          <w:szCs w:val="28"/>
          <w:lang w:val="en-US" w:eastAsia="zh-CN"/>
        </w:rPr>
      </w:pPr>
      <w:r>
        <w:rPr>
          <w:rFonts w:hint="eastAsia"/>
          <w:sz w:val="28"/>
          <w:szCs w:val="28"/>
          <w:lang w:val="en-US" w:eastAsia="zh-CN"/>
        </w:rPr>
        <w:t>公司特聘专家负责员工的培训、指导工作。</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b w:val="0"/>
          <w:bCs/>
          <w:sz w:val="28"/>
          <w:szCs w:val="28"/>
          <w:lang w:val="en-US" w:eastAsia="zh-CN"/>
        </w:rPr>
      </w:pPr>
      <w:r>
        <w:rPr>
          <w:rFonts w:hint="eastAsia"/>
          <w:b w:val="0"/>
          <w:bCs/>
          <w:sz w:val="28"/>
          <w:szCs w:val="28"/>
          <w:lang w:eastAsia="zh-CN"/>
        </w:rPr>
        <w:t>薪资：</w:t>
      </w:r>
      <w:r>
        <w:rPr>
          <w:rFonts w:hint="eastAsia"/>
          <w:b w:val="0"/>
          <w:bCs/>
          <w:sz w:val="28"/>
          <w:szCs w:val="28"/>
          <w:lang w:val="en-US" w:eastAsia="zh-CN"/>
        </w:rPr>
        <w:t>3000-5000元（入职后，根据个人工作</w:t>
      </w:r>
      <w:bookmarkStart w:id="2" w:name="_GoBack"/>
      <w:bookmarkEnd w:id="2"/>
      <w:r>
        <w:rPr>
          <w:rFonts w:hint="eastAsia"/>
          <w:b w:val="0"/>
          <w:bCs/>
          <w:sz w:val="28"/>
          <w:szCs w:val="28"/>
          <w:lang w:val="en-US" w:eastAsia="zh-CN"/>
        </w:rPr>
        <w:t>能力调整薪资）。</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sz w:val="28"/>
          <w:szCs w:val="28"/>
          <w:lang w:val="en-US" w:eastAsia="zh-CN"/>
        </w:rPr>
      </w:pPr>
      <w:r>
        <w:rPr>
          <w:rFonts w:hint="eastAsia"/>
          <w:b w:val="0"/>
          <w:bCs/>
          <w:sz w:val="28"/>
          <w:szCs w:val="28"/>
          <w:lang w:eastAsia="zh-CN"/>
        </w:rPr>
        <w:t>福利待遇：</w:t>
      </w:r>
      <w:r>
        <w:rPr>
          <w:rFonts w:hint="eastAsia"/>
          <w:sz w:val="28"/>
          <w:szCs w:val="28"/>
          <w:lang w:val="en-US" w:eastAsia="zh-CN"/>
        </w:rPr>
        <w:t>8小时单休、五险、工作餐、提供住宿、法定假日等。</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sz w:val="28"/>
          <w:szCs w:val="28"/>
          <w:lang w:val="en-US" w:eastAsia="zh-CN"/>
        </w:rPr>
      </w:pPr>
      <w:r>
        <w:rPr>
          <w:rFonts w:hint="eastAsia"/>
          <w:sz w:val="28"/>
          <w:szCs w:val="28"/>
          <w:lang w:val="en-US" w:eastAsia="zh-CN"/>
        </w:rPr>
        <w:t>（宿舍配置：标间两人间，有空调、热水器、独立卫生间等）</w:t>
      </w:r>
    </w:p>
    <w:p>
      <w:pPr>
        <w:keepNext w:val="0"/>
        <w:keepLines w:val="0"/>
        <w:pageBreakBefore w:val="0"/>
        <w:widowControl w:val="0"/>
        <w:tabs>
          <w:tab w:val="left" w:pos="1190"/>
        </w:tabs>
        <w:kinsoku/>
        <w:wordWrap/>
        <w:overflowPunct/>
        <w:topLinePunct w:val="0"/>
        <w:autoSpaceDE/>
        <w:autoSpaceDN/>
        <w:bidi w:val="0"/>
        <w:adjustRightInd/>
        <w:snapToGrid/>
        <w:spacing w:line="360" w:lineRule="auto"/>
        <w:textAlignment w:val="auto"/>
        <w:outlineLvl w:val="9"/>
        <w:rPr>
          <w:sz w:val="28"/>
          <w:szCs w:val="28"/>
        </w:rPr>
      </w:pPr>
      <w:r>
        <w:rPr>
          <w:rFonts w:hint="eastAsia"/>
          <w:sz w:val="28"/>
          <w:szCs w:val="28"/>
        </w:rPr>
        <w:t>公司地址：</w:t>
      </w:r>
      <w:r>
        <w:rPr>
          <w:rFonts w:hint="eastAsia"/>
          <w:sz w:val="28"/>
          <w:szCs w:val="28"/>
          <w:lang w:eastAsia="zh-CN"/>
        </w:rPr>
        <w:t>杭州萧山新街街道长山头村白蜡路</w:t>
      </w:r>
      <w:r>
        <w:rPr>
          <w:rFonts w:hint="eastAsia"/>
          <w:sz w:val="28"/>
          <w:szCs w:val="28"/>
          <w:lang w:val="en-US" w:eastAsia="zh-CN"/>
        </w:rPr>
        <w:t>8号（长山农贸市场旁边）</w:t>
      </w:r>
    </w:p>
    <w:p>
      <w:pPr>
        <w:keepNext w:val="0"/>
        <w:keepLines w:val="0"/>
        <w:pageBreakBefore w:val="0"/>
        <w:widowControl w:val="0"/>
        <w:tabs>
          <w:tab w:val="left" w:pos="1190"/>
        </w:tabs>
        <w:kinsoku/>
        <w:wordWrap/>
        <w:overflowPunct/>
        <w:topLinePunct w:val="0"/>
        <w:autoSpaceDE/>
        <w:autoSpaceDN/>
        <w:bidi w:val="0"/>
        <w:adjustRightInd/>
        <w:snapToGrid/>
        <w:spacing w:line="360" w:lineRule="auto"/>
        <w:textAlignment w:val="auto"/>
        <w:outlineLvl w:val="9"/>
        <w:rPr>
          <w:sz w:val="28"/>
          <w:szCs w:val="28"/>
        </w:rPr>
      </w:pPr>
      <w:r>
        <w:rPr>
          <w:rFonts w:hint="eastAsia"/>
          <w:sz w:val="28"/>
          <w:szCs w:val="28"/>
        </w:rPr>
        <w:t>联</w:t>
      </w:r>
      <w:r>
        <w:rPr>
          <w:rFonts w:hint="eastAsia"/>
          <w:sz w:val="28"/>
          <w:szCs w:val="28"/>
          <w:lang w:val="en-US" w:eastAsia="zh-CN"/>
        </w:rPr>
        <w:t xml:space="preserve"> </w:t>
      </w:r>
      <w:r>
        <w:rPr>
          <w:rFonts w:hint="eastAsia"/>
          <w:sz w:val="28"/>
          <w:szCs w:val="28"/>
        </w:rPr>
        <w:t>系</w:t>
      </w:r>
      <w:r>
        <w:rPr>
          <w:rFonts w:hint="eastAsia"/>
          <w:sz w:val="28"/>
          <w:szCs w:val="28"/>
          <w:lang w:val="en-US" w:eastAsia="zh-CN"/>
        </w:rPr>
        <w:t xml:space="preserve"> </w:t>
      </w:r>
      <w:r>
        <w:rPr>
          <w:rFonts w:hint="eastAsia"/>
          <w:sz w:val="28"/>
          <w:szCs w:val="28"/>
        </w:rPr>
        <w:t>人：</w:t>
      </w:r>
      <w:r>
        <w:rPr>
          <w:rFonts w:hint="eastAsia"/>
          <w:sz w:val="28"/>
          <w:szCs w:val="28"/>
          <w:lang w:eastAsia="zh-CN"/>
        </w:rPr>
        <w:t>人事科</w:t>
      </w:r>
      <w:r>
        <w:rPr>
          <w:rFonts w:hint="eastAsia"/>
          <w:sz w:val="28"/>
          <w:szCs w:val="28"/>
          <w:lang w:val="en-US" w:eastAsia="zh-CN"/>
        </w:rPr>
        <w:t xml:space="preserve"> 唐主任     </w:t>
      </w:r>
    </w:p>
    <w:p>
      <w:pPr>
        <w:keepNext w:val="0"/>
        <w:keepLines w:val="0"/>
        <w:pageBreakBefore w:val="0"/>
        <w:widowControl w:val="0"/>
        <w:tabs>
          <w:tab w:val="left" w:pos="1190"/>
        </w:tabs>
        <w:kinsoku/>
        <w:wordWrap/>
        <w:overflowPunct/>
        <w:topLinePunct w:val="0"/>
        <w:autoSpaceDE/>
        <w:autoSpaceDN/>
        <w:bidi w:val="0"/>
        <w:adjustRightInd/>
        <w:snapToGrid/>
        <w:spacing w:line="360" w:lineRule="auto"/>
        <w:textAlignment w:val="auto"/>
        <w:outlineLvl w:val="9"/>
        <w:rPr>
          <w:rFonts w:hint="eastAsia"/>
          <w:sz w:val="28"/>
          <w:szCs w:val="28"/>
          <w:lang w:val="en-US" w:eastAsia="zh-CN"/>
        </w:rPr>
      </w:pPr>
      <w:r>
        <w:rPr>
          <w:rFonts w:hint="eastAsia"/>
          <w:sz w:val="28"/>
          <w:szCs w:val="28"/>
        </w:rPr>
        <w:t>联系电话：</w:t>
      </w:r>
      <w:r>
        <w:rPr>
          <w:rFonts w:hint="eastAsia"/>
          <w:sz w:val="28"/>
          <w:szCs w:val="28"/>
          <w:lang w:val="en-US" w:eastAsia="zh-CN"/>
        </w:rPr>
        <w:t>18858173227</w:t>
      </w:r>
    </w:p>
    <w:p>
      <w:pPr>
        <w:keepNext w:val="0"/>
        <w:keepLines w:val="0"/>
        <w:pageBreakBefore w:val="0"/>
        <w:widowControl w:val="0"/>
        <w:tabs>
          <w:tab w:val="left" w:pos="1190"/>
        </w:tabs>
        <w:kinsoku/>
        <w:wordWrap/>
        <w:overflowPunct/>
        <w:topLinePunct w:val="0"/>
        <w:autoSpaceDE/>
        <w:autoSpaceDN/>
        <w:bidi w:val="0"/>
        <w:adjustRightInd/>
        <w:snapToGrid/>
        <w:spacing w:line="360" w:lineRule="auto"/>
        <w:textAlignment w:val="auto"/>
        <w:outlineLvl w:val="9"/>
        <w:rPr>
          <w:rFonts w:hint="eastAsia"/>
          <w:sz w:val="28"/>
          <w:szCs w:val="28"/>
          <w:lang w:val="en-US" w:eastAsia="zh-CN"/>
        </w:rPr>
      </w:pPr>
      <w:r>
        <w:rPr>
          <w:rFonts w:hint="eastAsia"/>
          <w:sz w:val="28"/>
          <w:szCs w:val="28"/>
        </w:rPr>
        <w:t>招聘邮箱：</w:t>
      </w:r>
      <w:r>
        <w:rPr>
          <w:rFonts w:hint="eastAsia"/>
          <w:sz w:val="28"/>
          <w:szCs w:val="28"/>
          <w:lang w:val="en-US" w:eastAsia="zh-CN"/>
        </w:rPr>
        <w:fldChar w:fldCharType="begin"/>
      </w:r>
      <w:r>
        <w:rPr>
          <w:rFonts w:hint="eastAsia"/>
          <w:sz w:val="28"/>
          <w:szCs w:val="28"/>
          <w:lang w:val="en-US" w:eastAsia="zh-CN"/>
        </w:rPr>
        <w:instrText xml:space="preserve"> HYPERLINK "mailto:1746919750@qq.com" </w:instrText>
      </w:r>
      <w:r>
        <w:rPr>
          <w:rFonts w:hint="eastAsia"/>
          <w:sz w:val="28"/>
          <w:szCs w:val="28"/>
          <w:lang w:val="en-US" w:eastAsia="zh-CN"/>
        </w:rPr>
        <w:fldChar w:fldCharType="separate"/>
      </w:r>
      <w:r>
        <w:rPr>
          <w:rStyle w:val="16"/>
          <w:rFonts w:hint="eastAsia"/>
          <w:sz w:val="28"/>
          <w:szCs w:val="28"/>
          <w:lang w:val="en-US" w:eastAsia="zh-CN"/>
        </w:rPr>
        <w:t>1746919750@qq.com</w:t>
      </w:r>
      <w:r>
        <w:rPr>
          <w:rFonts w:hint="eastAsia"/>
          <w:sz w:val="28"/>
          <w:szCs w:val="28"/>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sz w:val="28"/>
          <w:szCs w:val="28"/>
          <w:lang w:eastAsia="zh-CN"/>
        </w:rPr>
      </w:pPr>
      <w:r>
        <w:rPr>
          <w:rFonts w:hint="eastAsia"/>
          <w:sz w:val="28"/>
          <w:szCs w:val="28"/>
        </w:rPr>
        <w:t>公交路线：公交车</w:t>
      </w:r>
      <w:r>
        <w:rPr>
          <w:rFonts w:hint="eastAsia"/>
          <w:sz w:val="28"/>
          <w:szCs w:val="28"/>
          <w:lang w:val="en-US" w:eastAsia="zh-CN"/>
        </w:rPr>
        <w:t>360</w:t>
      </w:r>
      <w:r>
        <w:rPr>
          <w:rFonts w:hint="eastAsia"/>
          <w:sz w:val="28"/>
          <w:szCs w:val="28"/>
        </w:rPr>
        <w:t>或</w:t>
      </w:r>
      <w:r>
        <w:rPr>
          <w:rFonts w:hint="eastAsia"/>
          <w:sz w:val="28"/>
          <w:szCs w:val="28"/>
          <w:lang w:val="en-US" w:eastAsia="zh-CN"/>
        </w:rPr>
        <w:t>709</w:t>
      </w:r>
      <w:r>
        <w:rPr>
          <w:rFonts w:hint="eastAsia"/>
          <w:sz w:val="28"/>
          <w:szCs w:val="28"/>
        </w:rPr>
        <w:t>，到</w:t>
      </w:r>
      <w:r>
        <w:rPr>
          <w:rFonts w:hint="eastAsia"/>
          <w:sz w:val="28"/>
          <w:szCs w:val="28"/>
          <w:lang w:eastAsia="zh-CN"/>
        </w:rPr>
        <w:t>“长山二号桥”</w:t>
      </w:r>
      <w:r>
        <w:rPr>
          <w:rFonts w:hint="eastAsia"/>
          <w:sz w:val="28"/>
          <w:szCs w:val="28"/>
        </w:rPr>
        <w:t>，</w:t>
      </w:r>
      <w:r>
        <w:rPr>
          <w:rFonts w:hint="eastAsia"/>
          <w:sz w:val="28"/>
          <w:szCs w:val="28"/>
          <w:lang w:eastAsia="zh-CN"/>
        </w:rPr>
        <w:t>下车过小桥步行至公司</w:t>
      </w:r>
      <w:r>
        <w:rPr>
          <w:rFonts w:hint="eastAsia"/>
          <w:sz w:val="28"/>
          <w:szCs w:val="28"/>
        </w:rPr>
        <w:t>。</w:t>
      </w:r>
    </w:p>
    <w:p>
      <w:pPr>
        <w:pageBreakBefore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 w:val="0"/>
          <w:bCs/>
          <w:kern w:val="2"/>
          <w:sz w:val="28"/>
          <w:szCs w:val="28"/>
          <w:lang w:val="en-US" w:eastAsia="zh-CN" w:bidi="ar-SA"/>
        </w:rPr>
      </w:pPr>
    </w:p>
    <w:p>
      <w:pPr>
        <w:pageBreakBefore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 w:val="0"/>
          <w:bCs/>
          <w:kern w:val="2"/>
          <w:sz w:val="28"/>
          <w:szCs w:val="28"/>
          <w:lang w:val="en-US" w:eastAsia="zh-CN" w:bidi="ar-SA"/>
        </w:rPr>
      </w:pPr>
    </w:p>
    <w:p>
      <w:pPr>
        <w:pageBreakBefore w:val="0"/>
        <w:kinsoku/>
        <w:wordWrap/>
        <w:overflowPunct/>
        <w:topLinePunct w:val="0"/>
        <w:autoSpaceDE/>
        <w:autoSpaceDN/>
        <w:bidi w:val="0"/>
        <w:adjustRightInd/>
        <w:snapToGrid/>
        <w:spacing w:line="240" w:lineRule="auto"/>
        <w:ind w:firstLine="560" w:firstLineChars="200"/>
        <w:textAlignment w:val="auto"/>
        <w:rPr>
          <w:rFonts w:hint="eastAsia" w:asciiTheme="minorEastAsia" w:hAnsiTheme="minorEastAsia" w:eastAsiaTheme="minorEastAsia" w:cstheme="minorEastAsia"/>
          <w:b w:val="0"/>
          <w:bCs/>
          <w:kern w:val="2"/>
          <w:sz w:val="28"/>
          <w:szCs w:val="28"/>
          <w:lang w:val="en-US" w:eastAsia="zh-CN" w:bidi="ar-SA"/>
        </w:rPr>
      </w:pPr>
      <w:r>
        <w:rPr>
          <w:rFonts w:hint="eastAsia" w:asciiTheme="minorEastAsia" w:hAnsiTheme="minorEastAsia" w:eastAsiaTheme="minorEastAsia" w:cstheme="minorEastAsia"/>
          <w:b w:val="0"/>
          <w:bCs/>
          <w:kern w:val="2"/>
          <w:sz w:val="28"/>
          <w:szCs w:val="28"/>
          <w:lang w:val="en-US" w:eastAsia="zh-CN" w:bidi="ar-SA"/>
        </w:rPr>
        <w:t>另：我们在杭州萧山还有1家门诊部（杭州萧山萧益综合门诊部），面积约4000</w:t>
      </w:r>
      <w:r>
        <w:rPr>
          <w:rFonts w:hint="eastAsia" w:ascii="宋体" w:hAnsi="宋体" w:eastAsia="宋体" w:cs="宋体"/>
          <w:b w:val="0"/>
          <w:bCs/>
          <w:kern w:val="2"/>
          <w:sz w:val="28"/>
          <w:szCs w:val="28"/>
          <w:lang w:val="en-US" w:eastAsia="zh-CN" w:bidi="ar-SA"/>
        </w:rPr>
        <w:t>㎡</w:t>
      </w:r>
      <w:r>
        <w:rPr>
          <w:rFonts w:hint="eastAsia" w:asciiTheme="minorEastAsia" w:hAnsiTheme="minorEastAsia" w:eastAsiaTheme="minorEastAsia" w:cstheme="minorEastAsia"/>
          <w:b w:val="0"/>
          <w:bCs/>
          <w:kern w:val="2"/>
          <w:sz w:val="28"/>
          <w:szCs w:val="28"/>
          <w:lang w:val="en-US" w:eastAsia="zh-CN" w:bidi="ar-SA"/>
        </w:rPr>
        <w:t>；5家直营药店（杭州葆芝堂药房有限公司）。</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eastAsia" w:eastAsia="宋体"/>
        <w:lang w:val="en-US" w:eastAsia="zh-CN"/>
      </w:rPr>
    </w:pPr>
    <w:r>
      <w:rPr>
        <w:rFonts w:hint="eastAsia"/>
        <w:lang w:val="en-US" w:eastAsia="zh-CN"/>
      </w:rPr>
      <w:t>景逸堂医疗科技有限公司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attachedTemplate r:id="rId1"/>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341B09"/>
    <w:rsid w:val="0008011B"/>
    <w:rsid w:val="00091D74"/>
    <w:rsid w:val="000D44BD"/>
    <w:rsid w:val="000E5C48"/>
    <w:rsid w:val="00111782"/>
    <w:rsid w:val="0011647E"/>
    <w:rsid w:val="00257D62"/>
    <w:rsid w:val="002720B3"/>
    <w:rsid w:val="00287B7F"/>
    <w:rsid w:val="002B731A"/>
    <w:rsid w:val="00316880"/>
    <w:rsid w:val="003657E4"/>
    <w:rsid w:val="003A0E60"/>
    <w:rsid w:val="003A4D74"/>
    <w:rsid w:val="003B6BC6"/>
    <w:rsid w:val="003E5E25"/>
    <w:rsid w:val="003E6C8E"/>
    <w:rsid w:val="00426CFE"/>
    <w:rsid w:val="00461784"/>
    <w:rsid w:val="004C324C"/>
    <w:rsid w:val="004F2530"/>
    <w:rsid w:val="004F2C9D"/>
    <w:rsid w:val="00521010"/>
    <w:rsid w:val="00555787"/>
    <w:rsid w:val="00582C6B"/>
    <w:rsid w:val="00585483"/>
    <w:rsid w:val="005C26C0"/>
    <w:rsid w:val="006F32BB"/>
    <w:rsid w:val="00790F7C"/>
    <w:rsid w:val="008A2B34"/>
    <w:rsid w:val="009313BA"/>
    <w:rsid w:val="009B386C"/>
    <w:rsid w:val="009B4242"/>
    <w:rsid w:val="009F2349"/>
    <w:rsid w:val="00A049F8"/>
    <w:rsid w:val="00A41FDD"/>
    <w:rsid w:val="00A549C8"/>
    <w:rsid w:val="00A6793A"/>
    <w:rsid w:val="00AF37E9"/>
    <w:rsid w:val="00B43FAB"/>
    <w:rsid w:val="00B71391"/>
    <w:rsid w:val="00BD7F34"/>
    <w:rsid w:val="00C14186"/>
    <w:rsid w:val="00C421AD"/>
    <w:rsid w:val="00C458B1"/>
    <w:rsid w:val="00C7569B"/>
    <w:rsid w:val="00CC5F67"/>
    <w:rsid w:val="00DD38E1"/>
    <w:rsid w:val="00DF048C"/>
    <w:rsid w:val="00E37AEA"/>
    <w:rsid w:val="00E4129C"/>
    <w:rsid w:val="00E57B4D"/>
    <w:rsid w:val="00F14332"/>
    <w:rsid w:val="00F31C98"/>
    <w:rsid w:val="00F35395"/>
    <w:rsid w:val="00F45AEF"/>
    <w:rsid w:val="00F726F5"/>
    <w:rsid w:val="00F76C94"/>
    <w:rsid w:val="00FA76D2"/>
    <w:rsid w:val="00FD38D2"/>
    <w:rsid w:val="01970DDC"/>
    <w:rsid w:val="02056235"/>
    <w:rsid w:val="02341B09"/>
    <w:rsid w:val="035F670F"/>
    <w:rsid w:val="172C6542"/>
    <w:rsid w:val="233D2CA3"/>
    <w:rsid w:val="23407058"/>
    <w:rsid w:val="2F88048F"/>
    <w:rsid w:val="33804180"/>
    <w:rsid w:val="35811F48"/>
    <w:rsid w:val="38EE7D40"/>
    <w:rsid w:val="3F2F6BB6"/>
    <w:rsid w:val="449B63D2"/>
    <w:rsid w:val="509C0AA5"/>
    <w:rsid w:val="5F83569A"/>
    <w:rsid w:val="68BE0AC2"/>
    <w:rsid w:val="6B057E1D"/>
    <w:rsid w:val="6C165390"/>
    <w:rsid w:val="73B86524"/>
    <w:rsid w:val="759757F0"/>
    <w:rsid w:val="75F13D5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微软雅黑"/>
      <w:b/>
      <w:sz w:val="32"/>
    </w:rPr>
  </w:style>
  <w:style w:type="paragraph" w:styleId="4">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4">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Indent"/>
    <w:basedOn w:val="1"/>
    <w:qFormat/>
    <w:uiPriority w:val="0"/>
    <w:pPr>
      <w:ind w:left="1680" w:hanging="1680" w:hangingChars="600"/>
    </w:pPr>
    <w:rPr>
      <w:sz w:val="28"/>
    </w:rPr>
  </w:style>
  <w:style w:type="paragraph" w:styleId="7">
    <w:name w:val="Balloon Text"/>
    <w:basedOn w:val="1"/>
    <w:link w:val="27"/>
    <w:semiHidden/>
    <w:unhideWhenUsed/>
    <w:qFormat/>
    <w:uiPriority w:val="99"/>
    <w:rPr>
      <w:sz w:val="18"/>
      <w:szCs w:val="18"/>
    </w:rPr>
  </w:style>
  <w:style w:type="paragraph" w:styleId="8">
    <w:name w:val="footer"/>
    <w:basedOn w:val="1"/>
    <w:link w:val="24"/>
    <w:unhideWhenUsed/>
    <w:qFormat/>
    <w:uiPriority w:val="99"/>
    <w:pPr>
      <w:tabs>
        <w:tab w:val="center" w:pos="4153"/>
        <w:tab w:val="right" w:pos="8306"/>
      </w:tabs>
      <w:snapToGrid w:val="0"/>
      <w:jc w:val="left"/>
    </w:pPr>
    <w:rPr>
      <w:sz w:val="18"/>
      <w:szCs w:val="18"/>
    </w:rPr>
  </w:style>
  <w:style w:type="paragraph" w:styleId="9">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Body Text Indent 3"/>
    <w:basedOn w:val="1"/>
    <w:qFormat/>
    <w:uiPriority w:val="0"/>
    <w:pPr>
      <w:spacing w:line="440" w:lineRule="exact"/>
      <w:ind w:firstLine="524" w:firstLineChars="187"/>
    </w:pPr>
    <w:rPr>
      <w:sz w:val="28"/>
    </w:rPr>
  </w:style>
  <w:style w:type="paragraph" w:styleId="11">
    <w:name w:val="HTML Preformatted"/>
    <w:basedOn w:val="1"/>
    <w:link w:val="25"/>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eastAsia="宋体" w:cs="Arial"/>
      <w:kern w:val="0"/>
      <w:szCs w:val="21"/>
    </w:rPr>
  </w:style>
  <w:style w:type="paragraph" w:styleId="12">
    <w:name w:val="Normal (Web)"/>
    <w:basedOn w:val="1"/>
    <w:qFormat/>
    <w:uiPriority w:val="0"/>
    <w:pPr>
      <w:adjustRightInd/>
      <w:snapToGrid/>
      <w:spacing w:before="100" w:beforeAutospacing="1" w:after="100" w:afterAutospacing="1"/>
    </w:pPr>
    <w:rPr>
      <w:rFonts w:ascii="宋体" w:hAnsi="宋体" w:eastAsia="宋体" w:cs="宋体"/>
      <w:sz w:val="24"/>
      <w:szCs w:val="24"/>
    </w:rPr>
  </w:style>
  <w:style w:type="paragraph" w:styleId="13">
    <w:name w:val="Title"/>
    <w:basedOn w:val="1"/>
    <w:next w:val="1"/>
    <w:link w:val="26"/>
    <w:qFormat/>
    <w:uiPriority w:val="10"/>
    <w:pPr>
      <w:spacing w:before="240" w:after="60"/>
      <w:jc w:val="center"/>
      <w:outlineLvl w:val="0"/>
    </w:pPr>
    <w:rPr>
      <w:rFonts w:ascii="Cambria" w:hAnsi="Cambria" w:eastAsia="宋体" w:cs="Times New Roman"/>
      <w:b/>
      <w:bCs/>
      <w:sz w:val="32"/>
      <w:szCs w:val="32"/>
    </w:rPr>
  </w:style>
  <w:style w:type="character" w:styleId="15">
    <w:name w:val="Strong"/>
    <w:qFormat/>
    <w:uiPriority w:val="22"/>
    <w:rPr>
      <w:b/>
      <w:bCs/>
    </w:rPr>
  </w:style>
  <w:style w:type="character" w:styleId="16">
    <w:name w:val="Hyperlink"/>
    <w:basedOn w:val="14"/>
    <w:qFormat/>
    <w:uiPriority w:val="0"/>
    <w:rPr>
      <w:color w:val="0000FF"/>
      <w:u w:val="single"/>
    </w:rPr>
  </w:style>
  <w:style w:type="table" w:styleId="18">
    <w:name w:val="Table Grid"/>
    <w:basedOn w:val="17"/>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styleId="19">
    <w:name w:val="Light Shading Accent 2"/>
    <w:basedOn w:val="17"/>
    <w:qFormat/>
    <w:uiPriority w:val="60"/>
    <w:rPr>
      <w:color w:val="943634"/>
    </w:rPr>
    <w:tblPr>
      <w:tblBorders>
        <w:top w:val="single" w:color="C0504D" w:sz="8" w:space="0"/>
        <w:bottom w:val="single" w:color="C0504D" w:sz="8" w:space="0"/>
      </w:tblBorders>
      <w:tblLayout w:type="fixed"/>
    </w:tblPr>
    <w:tblStylePr w:type="firstRow">
      <w:pPr>
        <w:spacing w:before="0" w:after="0" w:line="240" w:lineRule="auto"/>
      </w:pPr>
      <w:rPr>
        <w:b/>
        <w:bCs/>
      </w:rPr>
      <w:tblPr>
        <w:tblLayout w:type="fixed"/>
      </w:tblPr>
      <w:tcPr>
        <w:tcBorders>
          <w:top w:val="single" w:color="C0504D" w:sz="8" w:space="0"/>
          <w:left w:val="single" w:color="C0504D" w:sz="8" w:space="0"/>
          <w:bottom w:val="nil"/>
          <w:right w:val="nil"/>
          <w:insideH w:val="nil"/>
          <w:insideV w:val="nil"/>
        </w:tcBorders>
      </w:tcPr>
    </w:tblStylePr>
    <w:tblStylePr w:type="lastRow">
      <w:pPr>
        <w:spacing w:before="0" w:after="0" w:line="240" w:lineRule="auto"/>
      </w:pPr>
      <w:rPr>
        <w:b/>
        <w:bCs/>
      </w:rPr>
      <w:tblPr>
        <w:tblLayout w:type="fixed"/>
      </w:tblPr>
      <w:tcPr>
        <w:tcBorders>
          <w:top w:val="single" w:color="C0504D" w:sz="8" w:space="0"/>
          <w:left w:val="single" w:color="C0504D" w:sz="8" w:space="0"/>
          <w:bottom w:val="nil"/>
          <w:right w:val="nil"/>
          <w:insideH w:val="nil"/>
          <w:insideV w:val="nil"/>
        </w:tcBorders>
      </w:tcPr>
    </w:tblStylePr>
    <w:tblStylePr w:type="firstCol">
      <w:rPr>
        <w:b/>
        <w:bCs/>
      </w:rPr>
    </w:tblStylePr>
    <w:tblStylePr w:type="lastCol">
      <w:rPr>
        <w:b/>
        <w:bCs/>
      </w:rPr>
    </w:tblStylePr>
    <w:tblStylePr w:type="band1Vert">
      <w:tblPr>
        <w:tblLayout w:type="fixed"/>
      </w:tblPr>
      <w:tcPr>
        <w:tcBorders>
          <w:bottom w:val="nil"/>
          <w:right w:val="nil"/>
          <w:insideH w:val="nil"/>
          <w:insideV w:val="nil"/>
        </w:tcBorders>
        <w:shd w:val="clear" w:color="auto" w:fill="EFD3D2"/>
      </w:tcPr>
    </w:tblStylePr>
    <w:tblStylePr w:type="band1Horz">
      <w:tblPr>
        <w:tblLayout w:type="fixed"/>
      </w:tblPr>
      <w:tcPr>
        <w:tcBorders>
          <w:bottom w:val="nil"/>
          <w:right w:val="nil"/>
          <w:insideH w:val="nil"/>
          <w:insideV w:val="nil"/>
        </w:tcBorders>
        <w:shd w:val="clear" w:color="auto" w:fill="EFD3D2"/>
      </w:tcPr>
    </w:tblStylePr>
  </w:style>
  <w:style w:type="table" w:styleId="20">
    <w:name w:val="Light Shading Accent 3"/>
    <w:basedOn w:val="17"/>
    <w:qFormat/>
    <w:uiPriority w:val="60"/>
    <w:rPr>
      <w:color w:val="76923C"/>
    </w:rPr>
    <w:tblPr>
      <w:tblBorders>
        <w:top w:val="single" w:color="9BBB59" w:sz="8" w:space="0"/>
        <w:bottom w:val="single" w:color="9BBB59" w:sz="8" w:space="0"/>
      </w:tblBorders>
      <w:tblLayout w:type="fixed"/>
    </w:tblPr>
    <w:tblStylePr w:type="firstRow">
      <w:pPr>
        <w:spacing w:before="0" w:after="0" w:line="240" w:lineRule="auto"/>
      </w:pPr>
      <w:rPr>
        <w:b/>
        <w:bCs/>
      </w:rPr>
      <w:tblPr>
        <w:tblLayout w:type="fixed"/>
      </w:tblPr>
      <w:tcPr>
        <w:tcBorders>
          <w:top w:val="single" w:color="9BBB59" w:sz="8" w:space="0"/>
          <w:left w:val="single" w:color="9BBB59" w:sz="8" w:space="0"/>
          <w:bottom w:val="nil"/>
          <w:right w:val="nil"/>
          <w:insideH w:val="nil"/>
          <w:insideV w:val="nil"/>
        </w:tcBorders>
      </w:tcPr>
    </w:tblStylePr>
    <w:tblStylePr w:type="lastRow">
      <w:pPr>
        <w:spacing w:before="0" w:after="0" w:line="240" w:lineRule="auto"/>
      </w:pPr>
      <w:rPr>
        <w:b/>
        <w:bCs/>
      </w:rPr>
      <w:tblPr>
        <w:tblLayout w:type="fixed"/>
      </w:tblPr>
      <w:tcPr>
        <w:tcBorders>
          <w:top w:val="single" w:color="9BBB59" w:sz="8" w:space="0"/>
          <w:left w:val="single" w:color="9BBB59" w:sz="8" w:space="0"/>
          <w:bottom w:val="nil"/>
          <w:right w:val="nil"/>
          <w:insideH w:val="nil"/>
          <w:insideV w:val="nil"/>
        </w:tcBorders>
      </w:tcPr>
    </w:tblStylePr>
    <w:tblStylePr w:type="firstCol">
      <w:rPr>
        <w:b/>
        <w:bCs/>
      </w:rPr>
    </w:tblStylePr>
    <w:tblStylePr w:type="lastCol">
      <w:rPr>
        <w:b/>
        <w:bCs/>
      </w:rPr>
    </w:tblStylePr>
    <w:tblStylePr w:type="band1Vert">
      <w:tblPr>
        <w:tblLayout w:type="fixed"/>
      </w:tblPr>
      <w:tcPr>
        <w:tcBorders>
          <w:bottom w:val="nil"/>
          <w:right w:val="nil"/>
          <w:insideH w:val="nil"/>
          <w:insideV w:val="nil"/>
        </w:tcBorders>
        <w:shd w:val="clear" w:color="auto" w:fill="E6EED5"/>
      </w:tcPr>
    </w:tblStylePr>
    <w:tblStylePr w:type="band1Horz">
      <w:tblPr>
        <w:tblLayout w:type="fixed"/>
      </w:tblPr>
      <w:tcPr>
        <w:tcBorders>
          <w:bottom w:val="nil"/>
          <w:right w:val="nil"/>
          <w:insideH w:val="nil"/>
          <w:insideV w:val="nil"/>
        </w:tcBorders>
        <w:shd w:val="clear" w:color="auto" w:fill="E6EED5"/>
      </w:tcPr>
    </w:tblStylePr>
  </w:style>
  <w:style w:type="paragraph" w:styleId="21">
    <w:name w:val="List Paragraph"/>
    <w:basedOn w:val="1"/>
    <w:qFormat/>
    <w:uiPriority w:val="34"/>
    <w:pPr>
      <w:ind w:firstLine="420" w:firstLineChars="200"/>
    </w:pPr>
  </w:style>
  <w:style w:type="paragraph" w:styleId="22">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23">
    <w:name w:val="页眉 Char"/>
    <w:link w:val="9"/>
    <w:qFormat/>
    <w:uiPriority w:val="99"/>
    <w:rPr>
      <w:sz w:val="18"/>
      <w:szCs w:val="18"/>
    </w:rPr>
  </w:style>
  <w:style w:type="character" w:customStyle="1" w:styleId="24">
    <w:name w:val="页脚 Char"/>
    <w:link w:val="8"/>
    <w:qFormat/>
    <w:uiPriority w:val="99"/>
    <w:rPr>
      <w:sz w:val="18"/>
      <w:szCs w:val="18"/>
    </w:rPr>
  </w:style>
  <w:style w:type="character" w:customStyle="1" w:styleId="25">
    <w:name w:val="HTML 预设格式 Char"/>
    <w:link w:val="11"/>
    <w:semiHidden/>
    <w:qFormat/>
    <w:uiPriority w:val="99"/>
    <w:rPr>
      <w:rFonts w:ascii="Arial" w:hAnsi="Arial" w:eastAsia="宋体" w:cs="Arial"/>
      <w:kern w:val="0"/>
      <w:szCs w:val="21"/>
    </w:rPr>
  </w:style>
  <w:style w:type="character" w:customStyle="1" w:styleId="26">
    <w:name w:val="标题 Char"/>
    <w:link w:val="13"/>
    <w:qFormat/>
    <w:uiPriority w:val="10"/>
    <w:rPr>
      <w:rFonts w:ascii="Cambria" w:hAnsi="Cambria" w:eastAsia="宋体" w:cs="Times New Roman"/>
      <w:b/>
      <w:bCs/>
      <w:sz w:val="32"/>
      <w:szCs w:val="32"/>
    </w:rPr>
  </w:style>
  <w:style w:type="character" w:customStyle="1" w:styleId="27">
    <w:name w:val="批注框文本 Char"/>
    <w:link w:val="7"/>
    <w:semiHidden/>
    <w:qFormat/>
    <w:uiPriority w:val="99"/>
    <w:rPr>
      <w:sz w:val="18"/>
      <w:szCs w:val="18"/>
    </w:rPr>
  </w:style>
  <w:style w:type="table" w:customStyle="1" w:styleId="28">
    <w:name w:val="浅色底纹 - 强调文字颜色 11"/>
    <w:basedOn w:val="17"/>
    <w:qFormat/>
    <w:uiPriority w:val="60"/>
    <w:rPr>
      <w:color w:val="365F91"/>
    </w:rPr>
    <w:tblPr>
      <w:tblBorders>
        <w:top w:val="single" w:color="4F81BD" w:sz="8" w:space="0"/>
        <w:bottom w:val="single" w:color="4F81BD" w:sz="8" w:space="0"/>
      </w:tblBorders>
      <w:tblLayout w:type="fixed"/>
    </w:tblPr>
    <w:tblStylePr w:type="firstRow">
      <w:pPr>
        <w:spacing w:before="0" w:after="0" w:line="240" w:lineRule="auto"/>
      </w:pPr>
      <w:rPr>
        <w:b/>
        <w:bCs/>
      </w:rPr>
      <w:tblPr>
        <w:tblLayout w:type="fixed"/>
      </w:tblPr>
      <w:tcPr>
        <w:tcBorders>
          <w:top w:val="single" w:color="4F81BD" w:sz="8" w:space="0"/>
          <w:left w:val="single" w:color="4F81BD" w:sz="8" w:space="0"/>
          <w:bottom w:val="nil"/>
          <w:right w:val="nil"/>
          <w:insideH w:val="nil"/>
          <w:insideV w:val="nil"/>
        </w:tcBorders>
      </w:tcPr>
    </w:tblStylePr>
    <w:tblStylePr w:type="lastRow">
      <w:pPr>
        <w:spacing w:before="0" w:after="0" w:line="240" w:lineRule="auto"/>
      </w:pPr>
      <w:rPr>
        <w:b/>
        <w:bCs/>
      </w:rPr>
      <w:tblPr>
        <w:tblLayout w:type="fixed"/>
      </w:tblPr>
      <w:tcPr>
        <w:tcBorders>
          <w:top w:val="single" w:color="4F81BD" w:sz="8" w:space="0"/>
          <w:left w:val="single" w:color="4F81BD" w:sz="8" w:space="0"/>
          <w:bottom w:val="nil"/>
          <w:right w:val="nil"/>
          <w:insideH w:val="nil"/>
          <w:insideV w:val="nil"/>
        </w:tcBorders>
      </w:tcPr>
    </w:tblStylePr>
    <w:tblStylePr w:type="firstCol">
      <w:rPr>
        <w:b/>
        <w:bCs/>
      </w:rPr>
    </w:tblStylePr>
    <w:tblStylePr w:type="lastCol">
      <w:rPr>
        <w:b/>
        <w:bCs/>
      </w:rPr>
    </w:tblStylePr>
    <w:tblStylePr w:type="band1Vert">
      <w:tblPr>
        <w:tblLayout w:type="fixed"/>
      </w:tblPr>
      <w:tcPr>
        <w:tcBorders>
          <w:bottom w:val="nil"/>
          <w:right w:val="nil"/>
          <w:insideH w:val="nil"/>
          <w:insideV w:val="nil"/>
        </w:tcBorders>
        <w:shd w:val="clear" w:color="auto" w:fill="D3DFEE"/>
      </w:tcPr>
    </w:tblStylePr>
    <w:tblStylePr w:type="band1Horz">
      <w:tblPr>
        <w:tblLayout w:type="fixed"/>
      </w:tblPr>
      <w:tcPr>
        <w:tcBorders>
          <w:bottom w:val="nil"/>
          <w:right w:val="nil"/>
          <w:insideH w:val="nil"/>
          <w:insideV w:val="nil"/>
        </w:tcBorders>
        <w:shd w:val="clear" w:color="auto" w:fill="D3DFEE"/>
      </w:tcPr>
    </w:tblStylePr>
  </w:style>
  <w:style w:type="table" w:customStyle="1" w:styleId="29">
    <w:name w:val="浅色底纹1"/>
    <w:basedOn w:val="17"/>
    <w:qFormat/>
    <w:uiPriority w:val="60"/>
    <w:rPr>
      <w:color w:val="000000"/>
    </w:rPr>
    <w:tblPr>
      <w:tblBorders>
        <w:top w:val="single" w:color="000000" w:sz="8" w:space="0"/>
        <w:bottom w:val="single" w:color="000000" w:sz="8" w:space="0"/>
      </w:tblBorders>
      <w:tblLayout w:type="fixed"/>
    </w:tblPr>
    <w:tblStylePr w:type="firstRow">
      <w:pPr>
        <w:spacing w:before="0" w:after="0" w:line="240" w:lineRule="auto"/>
      </w:pPr>
      <w:rPr>
        <w:b/>
        <w:bCs/>
      </w:rPr>
      <w:tblPr>
        <w:tblLayout w:type="fixed"/>
      </w:tblPr>
      <w:tcPr>
        <w:tcBorders>
          <w:top w:val="single" w:color="000000" w:sz="8" w:space="0"/>
          <w:left w:val="single" w:color="000000" w:sz="8" w:space="0"/>
          <w:bottom w:val="nil"/>
          <w:right w:val="nil"/>
          <w:insideH w:val="nil"/>
          <w:insideV w:val="nil"/>
        </w:tcBorders>
      </w:tcPr>
    </w:tblStylePr>
    <w:tblStylePr w:type="lastRow">
      <w:pPr>
        <w:spacing w:before="0" w:after="0" w:line="240" w:lineRule="auto"/>
      </w:pPr>
      <w:rPr>
        <w:b/>
        <w:bCs/>
      </w:rPr>
      <w:tblPr>
        <w:tblLayout w:type="fixed"/>
      </w:tblPr>
      <w:tcPr>
        <w:tcBorders>
          <w:top w:val="single" w:color="000000" w:sz="8" w:space="0"/>
          <w:left w:val="single" w:color="000000" w:sz="8" w:space="0"/>
          <w:bottom w:val="nil"/>
          <w:right w:val="nil"/>
          <w:insideH w:val="nil"/>
          <w:insideV w:val="nil"/>
        </w:tcBorders>
      </w:tcPr>
    </w:tblStylePr>
    <w:tblStylePr w:type="firstCol">
      <w:rPr>
        <w:b/>
        <w:bCs/>
      </w:rPr>
    </w:tblStylePr>
    <w:tblStylePr w:type="lastCol">
      <w:rPr>
        <w:b/>
        <w:bCs/>
      </w:rPr>
    </w:tblStylePr>
    <w:tblStylePr w:type="band1Vert">
      <w:tblPr>
        <w:tblLayout w:type="fixed"/>
      </w:tblPr>
      <w:tcPr>
        <w:tcBorders>
          <w:bottom w:val="nil"/>
          <w:right w:val="nil"/>
          <w:insideH w:val="nil"/>
          <w:insideV w:val="nil"/>
        </w:tcBorders>
        <w:shd w:val="clear" w:color="auto" w:fill="C0C0C0"/>
      </w:tcPr>
    </w:tblStylePr>
    <w:tblStylePr w:type="band1Horz">
      <w:tblPr>
        <w:tblLayout w:type="fixed"/>
      </w:tblPr>
      <w:tcPr>
        <w:tcBorders>
          <w:bottom w:val="nil"/>
          <w:right w:val="nil"/>
          <w:insideH w:val="nil"/>
          <w:insideV w:val="nil"/>
        </w:tcBorders>
        <w:shd w:val="clear" w:color="auto" w:fill="C0C0C0"/>
      </w:tcPr>
    </w:tblStylePr>
  </w:style>
  <w:style w:type="paragraph" w:customStyle="1" w:styleId="30">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40664;&#35748;\&#20581;&#24247;&#31649;&#29702;&#20844;&#21496;&#24066;&#22330;&#33829;&#38144;&#31574;&#21010;&#20070;&#20840;&#26696;.doc"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健康管理公司市场营销策划书全案.doc</Template>
  <Pages>5</Pages>
  <Words>1938</Words>
  <Characters>1996</Characters>
  <Lines>15</Lines>
  <Paragraphs>4</Paragraphs>
  <TotalTime>3</TotalTime>
  <ScaleCrop>false</ScaleCrop>
  <LinksUpToDate>false</LinksUpToDate>
  <CharactersWithSpaces>2008</CharactersWithSpaces>
  <Application>WPS Office_11.1.0.7881_F1E327BC-269C-435d-A152-05C5408002CA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2018-04-16T01:30:00Z</dcterms:created>
  <dc:creator>新野丶</dc:creator>
  <cp:lastModifiedBy>杭天涯</cp:lastModifiedBy>
  <dcterms:modified xsi:type="dcterms:W3CDTF">2018-10-26T06:25:29Z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